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FDA3" w14:textId="429CBC08" w:rsidR="0060743C" w:rsidRDefault="00AA16F8" w:rsidP="00E461DC">
      <w:pPr>
        <w:jc w:val="both"/>
        <w:rPr>
          <w:rFonts w:ascii="Calibri" w:hAnsi="Calibri" w:cs="Calibri"/>
          <w:b/>
          <w:sz w:val="20"/>
          <w:szCs w:val="20"/>
        </w:rPr>
      </w:pPr>
      <w:r w:rsidRPr="00AA16F8">
        <w:rPr>
          <w:rFonts w:ascii="Calibri" w:hAnsi="Calibri" w:cs="Calibri"/>
          <w:b/>
          <w:sz w:val="20"/>
          <w:szCs w:val="20"/>
        </w:rPr>
        <w:t xml:space="preserve">Defining Core and Troublesome Concepts in </w:t>
      </w:r>
      <w:r w:rsidR="009A2E4F">
        <w:rPr>
          <w:rFonts w:ascii="Calibri" w:hAnsi="Calibri" w:cs="Calibri"/>
          <w:b/>
          <w:sz w:val="20"/>
          <w:szCs w:val="20"/>
        </w:rPr>
        <w:t xml:space="preserve">Master’s level </w:t>
      </w:r>
      <w:r w:rsidRPr="00AA16F8">
        <w:rPr>
          <w:rFonts w:ascii="Calibri" w:hAnsi="Calibri" w:cs="Calibri"/>
          <w:b/>
          <w:sz w:val="20"/>
          <w:szCs w:val="20"/>
        </w:rPr>
        <w:t>Pharmacology: Educators’ Perspective</w:t>
      </w:r>
    </w:p>
    <w:p w14:paraId="1CE4E95F" w14:textId="0C28526E" w:rsidR="00E461DC" w:rsidRPr="004E5450" w:rsidRDefault="00E461DC" w:rsidP="00E461DC">
      <w:pPr>
        <w:jc w:val="both"/>
        <w:rPr>
          <w:rFonts w:ascii="Calibri" w:hAnsi="Calibri" w:cs="Calibri"/>
          <w:sz w:val="20"/>
          <w:szCs w:val="20"/>
          <w:lang w:val="en-AU"/>
        </w:rPr>
      </w:pPr>
      <w:r>
        <w:rPr>
          <w:rFonts w:ascii="Calibri" w:hAnsi="Calibri" w:cs="Calibri"/>
          <w:sz w:val="20"/>
          <w:szCs w:val="20"/>
          <w:lang w:val="en-AU"/>
        </w:rPr>
        <w:t>Fouzia Khan</w:t>
      </w:r>
      <w:r w:rsidRPr="004E5450">
        <w:rPr>
          <w:rFonts w:ascii="Calibri" w:hAnsi="Calibri" w:cs="Calibri"/>
          <w:sz w:val="20"/>
          <w:szCs w:val="20"/>
          <w:vertAlign w:val="superscript"/>
          <w:lang w:val="en-AU"/>
        </w:rPr>
        <w:t>1</w:t>
      </w:r>
      <w:r w:rsidRPr="004E5450">
        <w:rPr>
          <w:rFonts w:ascii="Calibri" w:hAnsi="Calibri" w:cs="Calibri"/>
          <w:sz w:val="20"/>
          <w:szCs w:val="20"/>
          <w:lang w:val="en-AU"/>
        </w:rPr>
        <w:t xml:space="preserve">. </w:t>
      </w:r>
      <w:r w:rsidRPr="00DB09AF">
        <w:rPr>
          <w:rFonts w:ascii="Calibri" w:hAnsi="Calibri" w:cs="Calibri"/>
          <w:sz w:val="20"/>
          <w:szCs w:val="20"/>
          <w:lang w:val="en-GB"/>
        </w:rPr>
        <w:t>National Heart and Lung Institute, Faculty of Medicine, Imperial</w:t>
      </w:r>
      <w:r w:rsidRPr="004E5450">
        <w:rPr>
          <w:rFonts w:ascii="Calibri" w:hAnsi="Calibri" w:cs="Calibri"/>
          <w:sz w:val="20"/>
          <w:szCs w:val="20"/>
          <w:vertAlign w:val="superscript"/>
          <w:lang w:val="en-AU"/>
        </w:rPr>
        <w:t>1</w:t>
      </w:r>
      <w:r w:rsidRPr="00DB09AF">
        <w:rPr>
          <w:rFonts w:ascii="Calibri" w:hAnsi="Calibri" w:cs="Calibri"/>
          <w:sz w:val="20"/>
          <w:szCs w:val="20"/>
          <w:lang w:val="en-GB"/>
        </w:rPr>
        <w:t>,</w:t>
      </w:r>
      <w:r>
        <w:rPr>
          <w:rFonts w:ascii="Calibri" w:hAnsi="Calibri" w:cs="Calibri"/>
          <w:sz w:val="20"/>
          <w:szCs w:val="20"/>
          <w:lang w:val="en-GB"/>
        </w:rPr>
        <w:t xml:space="preserve"> London, UK</w:t>
      </w:r>
      <w:r>
        <w:rPr>
          <w:rFonts w:ascii="Calibri" w:hAnsi="Calibri" w:cs="Calibri"/>
          <w:sz w:val="20"/>
          <w:szCs w:val="20"/>
          <w:lang w:val="en-AU"/>
        </w:rPr>
        <w:t>.</w:t>
      </w:r>
    </w:p>
    <w:p w14:paraId="14D9A506" w14:textId="77777777" w:rsidR="00E461DC" w:rsidRDefault="00E461DC" w:rsidP="00E461DC">
      <w:pPr>
        <w:pStyle w:val="Default"/>
        <w:jc w:val="both"/>
        <w:rPr>
          <w:i/>
          <w:color w:val="auto"/>
          <w:sz w:val="20"/>
          <w:szCs w:val="20"/>
        </w:rPr>
      </w:pPr>
    </w:p>
    <w:p w14:paraId="5981CD18" w14:textId="039B2597" w:rsidR="00295633" w:rsidRDefault="00E461DC" w:rsidP="00E461DC">
      <w:pPr>
        <w:jc w:val="both"/>
        <w:rPr>
          <w:rFonts w:ascii="Calibri" w:hAnsi="Calibri" w:cs="Calibri"/>
          <w:sz w:val="20"/>
          <w:szCs w:val="20"/>
        </w:rPr>
      </w:pPr>
      <w:bookmarkStart w:id="0" w:name="_Hlk207634469"/>
      <w:r w:rsidRPr="00444224">
        <w:rPr>
          <w:rFonts w:ascii="Calibri" w:hAnsi="Calibri" w:cs="Calibri"/>
          <w:b/>
          <w:bCs/>
          <w:sz w:val="20"/>
          <w:szCs w:val="20"/>
          <w:lang w:val="en-AU"/>
        </w:rPr>
        <w:t>Introduction.</w:t>
      </w:r>
      <w:r>
        <w:rPr>
          <w:rFonts w:ascii="Calibri" w:hAnsi="Calibri" w:cs="Calibri"/>
          <w:sz w:val="20"/>
          <w:szCs w:val="20"/>
          <w:lang w:val="en-AU"/>
        </w:rPr>
        <w:t xml:space="preserve"> </w:t>
      </w:r>
      <w:r w:rsidRPr="00E461DC">
        <w:rPr>
          <w:rFonts w:ascii="Calibri" w:hAnsi="Calibri" w:cs="Calibri"/>
          <w:sz w:val="20"/>
          <w:szCs w:val="20"/>
        </w:rPr>
        <w:t xml:space="preserve">Postgraduate pharmacology education is becoming increasingly complex, with students </w:t>
      </w:r>
      <w:r w:rsidR="00295633" w:rsidRPr="00295633">
        <w:rPr>
          <w:rFonts w:ascii="Calibri" w:hAnsi="Calibri" w:cs="Calibri"/>
          <w:sz w:val="20"/>
          <w:szCs w:val="20"/>
        </w:rPr>
        <w:t>from diverse backgrounds often struggling to master foundational knowledge.</w:t>
      </w:r>
      <w:r w:rsidR="00295633">
        <w:rPr>
          <w:rFonts w:ascii="Calibri" w:hAnsi="Calibri" w:cs="Calibri"/>
          <w:sz w:val="20"/>
          <w:szCs w:val="20"/>
        </w:rPr>
        <w:t xml:space="preserve"> </w:t>
      </w:r>
      <w:r w:rsidRPr="00E461DC">
        <w:rPr>
          <w:rFonts w:ascii="Calibri" w:hAnsi="Calibri" w:cs="Calibri"/>
          <w:sz w:val="20"/>
          <w:szCs w:val="20"/>
        </w:rPr>
        <w:t xml:space="preserve">These challenges are compounded by the integration of pharmacology into interdisciplinary programmes delivered within limited timeframes. </w:t>
      </w:r>
      <w:r w:rsidR="00295633" w:rsidRPr="00295633">
        <w:rPr>
          <w:rFonts w:ascii="Calibri" w:hAnsi="Calibri" w:cs="Calibri"/>
          <w:sz w:val="20"/>
          <w:szCs w:val="20"/>
        </w:rPr>
        <w:t xml:space="preserve">Unlike undergraduate curricula, </w:t>
      </w:r>
      <w:r w:rsidR="009A2E4F">
        <w:rPr>
          <w:rFonts w:ascii="Calibri" w:hAnsi="Calibri" w:cs="Calibri"/>
          <w:sz w:val="20"/>
          <w:szCs w:val="20"/>
        </w:rPr>
        <w:t xml:space="preserve">Master’s level </w:t>
      </w:r>
      <w:r w:rsidR="00295633" w:rsidRPr="00295633">
        <w:rPr>
          <w:rFonts w:ascii="Calibri" w:hAnsi="Calibri" w:cs="Calibri"/>
          <w:sz w:val="20"/>
          <w:szCs w:val="20"/>
        </w:rPr>
        <w:t>courses lack a clear core framework, creating challenges for</w:t>
      </w:r>
      <w:r w:rsidR="00295633">
        <w:rPr>
          <w:rFonts w:ascii="Calibri" w:hAnsi="Calibri" w:cs="Calibri"/>
          <w:sz w:val="20"/>
          <w:szCs w:val="20"/>
        </w:rPr>
        <w:t xml:space="preserve"> both </w:t>
      </w:r>
      <w:r w:rsidR="00295633" w:rsidRPr="00295633">
        <w:rPr>
          <w:rFonts w:ascii="Calibri" w:hAnsi="Calibri" w:cs="Calibri"/>
          <w:sz w:val="20"/>
          <w:szCs w:val="20"/>
        </w:rPr>
        <w:t>learners and educators.</w:t>
      </w:r>
    </w:p>
    <w:p w14:paraId="0331003E" w14:textId="4A9B938B" w:rsidR="00E461DC" w:rsidRDefault="00E461DC" w:rsidP="00E461DC">
      <w:pPr>
        <w:jc w:val="both"/>
        <w:rPr>
          <w:rFonts w:ascii="Calibri" w:hAnsi="Calibri" w:cs="Calibri"/>
          <w:sz w:val="20"/>
          <w:szCs w:val="20"/>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Pr="00E461DC">
        <w:rPr>
          <w:rFonts w:ascii="Calibri" w:hAnsi="Calibri" w:cs="Calibri"/>
          <w:sz w:val="20"/>
          <w:szCs w:val="20"/>
        </w:rPr>
        <w:t xml:space="preserve">This study aimed to identify and analyse core and troublesome concepts in </w:t>
      </w:r>
      <w:r w:rsidR="009A2E4F">
        <w:rPr>
          <w:rFonts w:ascii="Calibri" w:hAnsi="Calibri" w:cs="Calibri"/>
          <w:sz w:val="20"/>
          <w:szCs w:val="20"/>
        </w:rPr>
        <w:t xml:space="preserve">Master’s level </w:t>
      </w:r>
      <w:r w:rsidRPr="00E461DC">
        <w:rPr>
          <w:rFonts w:ascii="Calibri" w:hAnsi="Calibri" w:cs="Calibri"/>
          <w:sz w:val="20"/>
          <w:szCs w:val="20"/>
        </w:rPr>
        <w:t>pharmacology as perceived by educators. Using the threshold concept framework, it sought to define essential core concepts, highlight troublesome areas for students, and explore their implications for signature pedagogy and curriculum design.</w:t>
      </w:r>
    </w:p>
    <w:p w14:paraId="1A80F022" w14:textId="68217DB7" w:rsidR="00E461DC" w:rsidRDefault="00E461DC" w:rsidP="00E461DC">
      <w:pPr>
        <w:jc w:val="both"/>
        <w:rPr>
          <w:rFonts w:ascii="Calibri" w:hAnsi="Calibri" w:cs="Calibri"/>
          <w:sz w:val="20"/>
          <w:szCs w:val="20"/>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Pr="00E461DC">
        <w:rPr>
          <w:rFonts w:ascii="Calibri" w:hAnsi="Calibri" w:cs="Calibri"/>
          <w:sz w:val="20"/>
          <w:szCs w:val="20"/>
        </w:rPr>
        <w:t xml:space="preserve">A mixed-methods </w:t>
      </w:r>
      <w:r>
        <w:rPr>
          <w:rFonts w:ascii="Calibri" w:hAnsi="Calibri" w:cs="Calibri"/>
          <w:sz w:val="20"/>
          <w:szCs w:val="20"/>
        </w:rPr>
        <w:t>approach</w:t>
      </w:r>
      <w:r w:rsidRPr="00E461DC">
        <w:rPr>
          <w:rFonts w:ascii="Calibri" w:hAnsi="Calibri" w:cs="Calibri"/>
          <w:sz w:val="20"/>
          <w:szCs w:val="20"/>
        </w:rPr>
        <w:t xml:space="preserve"> was employed, combining concept mapping, an online questionnaire, and semi-structured interviews.</w:t>
      </w:r>
      <w:r w:rsidRPr="00640A3A">
        <w:rPr>
          <w:rFonts w:ascii="Calibri" w:hAnsi="Calibri" w:cs="Calibri"/>
          <w:sz w:val="20"/>
          <w:szCs w:val="20"/>
        </w:rPr>
        <w:t xml:space="preserve"> </w:t>
      </w:r>
      <w:r w:rsidRPr="00E461DC">
        <w:rPr>
          <w:rFonts w:ascii="Calibri" w:hAnsi="Calibri" w:cs="Calibri"/>
          <w:sz w:val="20"/>
          <w:szCs w:val="20"/>
        </w:rPr>
        <w:t xml:space="preserve">Concept mapping with 25 educators at a British Pharmacological Society event generated initial lists of Core Concepts (fundamental knowledge and skills), Troublesome Concepts, and Defining Concepts (shaping professional identity). A follow-up questionnaire (439 distributed; 10 respondents) asked educators to rate concepts by difficulty, importance, and relevance. Finally, </w:t>
      </w:r>
      <w:r>
        <w:rPr>
          <w:rFonts w:ascii="Calibri" w:hAnsi="Calibri" w:cs="Calibri"/>
          <w:sz w:val="20"/>
          <w:szCs w:val="20"/>
        </w:rPr>
        <w:t>9</w:t>
      </w:r>
      <w:r w:rsidRPr="00E461DC">
        <w:rPr>
          <w:rFonts w:ascii="Calibri" w:hAnsi="Calibri" w:cs="Calibri"/>
          <w:sz w:val="20"/>
          <w:szCs w:val="20"/>
        </w:rPr>
        <w:t xml:space="preserve"> interviews </w:t>
      </w:r>
      <w:r>
        <w:rPr>
          <w:rFonts w:ascii="Calibri" w:hAnsi="Calibri" w:cs="Calibri"/>
          <w:sz w:val="20"/>
          <w:szCs w:val="20"/>
        </w:rPr>
        <w:t xml:space="preserve">with the educators </w:t>
      </w:r>
      <w:r w:rsidRPr="00E461DC">
        <w:rPr>
          <w:rFonts w:ascii="Calibri" w:hAnsi="Calibri" w:cs="Calibri"/>
          <w:sz w:val="20"/>
          <w:szCs w:val="20"/>
        </w:rPr>
        <w:t>were conducted to validate and expand these findings. Data were analysed thematically and through morphological/structural topology.</w:t>
      </w:r>
    </w:p>
    <w:p w14:paraId="68271FAB" w14:textId="121B4FC0" w:rsidR="00E461DC" w:rsidRDefault="00E461DC" w:rsidP="00E461DC">
      <w:pPr>
        <w:jc w:val="both"/>
        <w:rPr>
          <w:rFonts w:ascii="Calibri" w:hAnsi="Calibri" w:cs="Calibri"/>
          <w:sz w:val="20"/>
          <w:szCs w:val="20"/>
          <w:lang w:val="en-GB"/>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Pr="00E461DC">
        <w:rPr>
          <w:rFonts w:ascii="Calibri" w:hAnsi="Calibri" w:cs="Calibri"/>
          <w:i/>
          <w:iCs/>
          <w:sz w:val="20"/>
          <w:szCs w:val="20"/>
          <w:lang w:val="en-AU"/>
        </w:rPr>
        <w:t>P</w:t>
      </w:r>
      <w:r w:rsidRPr="00E461DC">
        <w:rPr>
          <w:rFonts w:ascii="Calibri" w:hAnsi="Calibri" w:cs="Calibri"/>
          <w:i/>
          <w:iCs/>
          <w:sz w:val="20"/>
          <w:szCs w:val="20"/>
          <w:lang w:val="en-GB"/>
        </w:rPr>
        <w:t>harmacodynamics and pharmacokinetics</w:t>
      </w:r>
      <w:r w:rsidRPr="002D6742">
        <w:rPr>
          <w:rFonts w:ascii="Calibri" w:hAnsi="Calibri" w:cs="Calibri"/>
          <w:sz w:val="20"/>
          <w:szCs w:val="20"/>
          <w:lang w:val="en-GB"/>
        </w:rPr>
        <w:t xml:space="preserve"> </w:t>
      </w:r>
      <w:r w:rsidRPr="00E461DC">
        <w:rPr>
          <w:rFonts w:ascii="Calibri" w:hAnsi="Calibri" w:cs="Calibri"/>
          <w:sz w:val="20"/>
          <w:szCs w:val="20"/>
          <w:lang w:val="en-GB"/>
        </w:rPr>
        <w:t>emerged as central core concepts</w:t>
      </w:r>
      <w:r w:rsidRPr="002D6742">
        <w:rPr>
          <w:rFonts w:ascii="Calibri" w:hAnsi="Calibri" w:cs="Calibri"/>
          <w:sz w:val="20"/>
          <w:szCs w:val="20"/>
          <w:lang w:val="en-GB"/>
        </w:rPr>
        <w:t xml:space="preserve">, </w:t>
      </w:r>
      <w:r w:rsidRPr="00E461DC">
        <w:rPr>
          <w:rFonts w:ascii="Calibri" w:hAnsi="Calibri" w:cs="Calibri"/>
          <w:sz w:val="20"/>
          <w:szCs w:val="20"/>
          <w:lang w:val="en-GB"/>
        </w:rPr>
        <w:t xml:space="preserve">while </w:t>
      </w:r>
      <w:r w:rsidRPr="00E461DC">
        <w:rPr>
          <w:rFonts w:ascii="Calibri" w:hAnsi="Calibri" w:cs="Calibri"/>
          <w:i/>
          <w:iCs/>
          <w:sz w:val="20"/>
          <w:szCs w:val="20"/>
          <w:lang w:val="en-GB"/>
        </w:rPr>
        <w:t>critical thinking,</w:t>
      </w:r>
      <w:r w:rsidRPr="00E461DC">
        <w:rPr>
          <w:rFonts w:ascii="Calibri" w:hAnsi="Calibri" w:cs="Calibri"/>
          <w:sz w:val="20"/>
          <w:szCs w:val="20"/>
          <w:lang w:val="en-GB"/>
        </w:rPr>
        <w:t xml:space="preserve"> </w:t>
      </w:r>
      <w:r w:rsidRPr="00E461DC">
        <w:rPr>
          <w:rFonts w:ascii="Calibri" w:hAnsi="Calibri" w:cs="Calibri"/>
          <w:i/>
          <w:iCs/>
          <w:sz w:val="20"/>
          <w:szCs w:val="20"/>
          <w:lang w:val="en-GB"/>
        </w:rPr>
        <w:t>independent learning,</w:t>
      </w:r>
      <w:r w:rsidRPr="00E461DC">
        <w:rPr>
          <w:rFonts w:ascii="Calibri" w:hAnsi="Calibri" w:cs="Calibri"/>
          <w:sz w:val="20"/>
          <w:szCs w:val="20"/>
          <w:lang w:val="en-GB"/>
        </w:rPr>
        <w:t xml:space="preserve"> </w:t>
      </w:r>
      <w:r w:rsidRPr="00E461DC">
        <w:rPr>
          <w:rFonts w:ascii="Calibri" w:hAnsi="Calibri" w:cs="Calibri"/>
          <w:i/>
          <w:iCs/>
          <w:sz w:val="20"/>
          <w:szCs w:val="20"/>
          <w:lang w:val="en-GB"/>
        </w:rPr>
        <w:t>statistics,</w:t>
      </w:r>
      <w:r w:rsidRPr="00E461DC">
        <w:rPr>
          <w:rFonts w:ascii="Calibri" w:hAnsi="Calibri" w:cs="Calibri"/>
          <w:sz w:val="20"/>
          <w:szCs w:val="20"/>
          <w:lang w:val="en-GB"/>
        </w:rPr>
        <w:t xml:space="preserve"> and </w:t>
      </w:r>
      <w:r w:rsidRPr="00E461DC">
        <w:rPr>
          <w:rFonts w:ascii="Calibri" w:hAnsi="Calibri" w:cs="Calibri"/>
          <w:i/>
          <w:iCs/>
          <w:sz w:val="20"/>
          <w:szCs w:val="20"/>
          <w:lang w:val="en-GB"/>
        </w:rPr>
        <w:t>cohort building</w:t>
      </w:r>
      <w:r w:rsidRPr="00E461DC">
        <w:rPr>
          <w:rFonts w:ascii="Calibri" w:hAnsi="Calibri" w:cs="Calibri"/>
          <w:sz w:val="20"/>
          <w:szCs w:val="20"/>
          <w:lang w:val="en-GB"/>
        </w:rPr>
        <w:t xml:space="preserve"> were identified as essential skills.</w:t>
      </w:r>
      <w:r>
        <w:rPr>
          <w:rFonts w:ascii="Calibri" w:hAnsi="Calibri" w:cs="Calibri"/>
          <w:sz w:val="20"/>
          <w:szCs w:val="20"/>
          <w:lang w:val="en-GB"/>
        </w:rPr>
        <w:t xml:space="preserve"> </w:t>
      </w:r>
      <w:r w:rsidRPr="00E461DC">
        <w:rPr>
          <w:rFonts w:ascii="Calibri" w:hAnsi="Calibri" w:cs="Calibri"/>
          <w:i/>
          <w:iCs/>
          <w:sz w:val="20"/>
          <w:szCs w:val="20"/>
        </w:rPr>
        <w:t xml:space="preserve">Statistics, pharmacokinetics, </w:t>
      </w:r>
      <w:r w:rsidRPr="00E461DC">
        <w:rPr>
          <w:rFonts w:ascii="Calibri" w:hAnsi="Calibri" w:cs="Calibri"/>
          <w:sz w:val="20"/>
          <w:szCs w:val="20"/>
        </w:rPr>
        <w:t xml:space="preserve">and </w:t>
      </w:r>
      <w:r w:rsidRPr="00E461DC">
        <w:rPr>
          <w:rFonts w:ascii="Calibri" w:hAnsi="Calibri" w:cs="Calibri"/>
          <w:i/>
          <w:iCs/>
          <w:sz w:val="20"/>
          <w:szCs w:val="20"/>
        </w:rPr>
        <w:t>drug–receptor interactions</w:t>
      </w:r>
      <w:r w:rsidRPr="00E461DC">
        <w:rPr>
          <w:rFonts w:ascii="Calibri" w:hAnsi="Calibri" w:cs="Calibri"/>
          <w:sz w:val="20"/>
          <w:szCs w:val="20"/>
        </w:rPr>
        <w:t xml:space="preserve"> were consistently described as troublesome, alongside </w:t>
      </w:r>
      <w:r w:rsidRPr="00E461DC">
        <w:rPr>
          <w:rFonts w:ascii="Calibri" w:hAnsi="Calibri" w:cs="Calibri"/>
          <w:i/>
          <w:iCs/>
          <w:sz w:val="20"/>
          <w:szCs w:val="20"/>
        </w:rPr>
        <w:t>experimental design</w:t>
      </w:r>
      <w:r w:rsidRPr="00E461DC">
        <w:rPr>
          <w:rFonts w:ascii="Calibri" w:hAnsi="Calibri" w:cs="Calibri"/>
          <w:sz w:val="20"/>
          <w:szCs w:val="20"/>
        </w:rPr>
        <w:t xml:space="preserve">, </w:t>
      </w:r>
      <w:r w:rsidRPr="00E461DC">
        <w:rPr>
          <w:rFonts w:ascii="Calibri" w:hAnsi="Calibri" w:cs="Calibri"/>
          <w:i/>
          <w:iCs/>
          <w:sz w:val="20"/>
          <w:szCs w:val="20"/>
        </w:rPr>
        <w:t>scientific writing</w:t>
      </w:r>
      <w:r w:rsidRPr="00E461DC">
        <w:rPr>
          <w:rFonts w:ascii="Calibri" w:hAnsi="Calibri" w:cs="Calibri"/>
          <w:sz w:val="20"/>
          <w:szCs w:val="20"/>
        </w:rPr>
        <w:t xml:space="preserve">, and adapting to </w:t>
      </w:r>
      <w:r w:rsidRPr="00E461DC">
        <w:rPr>
          <w:rFonts w:ascii="Calibri" w:hAnsi="Calibri" w:cs="Calibri"/>
          <w:i/>
          <w:iCs/>
          <w:sz w:val="20"/>
          <w:szCs w:val="20"/>
        </w:rPr>
        <w:t>independent study</w:t>
      </w:r>
      <w:r w:rsidRPr="00E461DC">
        <w:rPr>
          <w:rFonts w:ascii="Calibri" w:hAnsi="Calibri" w:cs="Calibri"/>
          <w:sz w:val="20"/>
          <w:szCs w:val="20"/>
        </w:rPr>
        <w:t xml:space="preserve"> at </w:t>
      </w:r>
      <w:r w:rsidR="0040131B" w:rsidRPr="00E461DC">
        <w:rPr>
          <w:rFonts w:ascii="Calibri" w:hAnsi="Calibri" w:cs="Calibri"/>
          <w:sz w:val="20"/>
          <w:szCs w:val="20"/>
        </w:rPr>
        <w:t>master’s</w:t>
      </w:r>
      <w:r w:rsidRPr="00E461DC">
        <w:rPr>
          <w:rFonts w:ascii="Calibri" w:hAnsi="Calibri" w:cs="Calibri"/>
          <w:sz w:val="20"/>
          <w:szCs w:val="20"/>
        </w:rPr>
        <w:t xml:space="preserve"> level.</w:t>
      </w:r>
      <w:r>
        <w:rPr>
          <w:rFonts w:ascii="Calibri" w:hAnsi="Calibri" w:cs="Calibri"/>
          <w:sz w:val="20"/>
          <w:szCs w:val="20"/>
        </w:rPr>
        <w:t xml:space="preserve"> </w:t>
      </w:r>
      <w:r w:rsidRPr="00E461DC">
        <w:rPr>
          <w:rFonts w:ascii="Calibri" w:hAnsi="Calibri" w:cs="Calibri"/>
          <w:sz w:val="20"/>
          <w:szCs w:val="20"/>
        </w:rPr>
        <w:t>Exploration of signature pedagogy emphasised the development of “habits of mind, hand, and heart,” integrating disciplinary knowledge, critical inquiry, and interdisciplinarity into pharmacologists’ professional identity.</w:t>
      </w:r>
    </w:p>
    <w:p w14:paraId="5673EF4D" w14:textId="085DCBE5" w:rsidR="00E461DC" w:rsidRPr="009A2E31" w:rsidRDefault="00E461DC" w:rsidP="00711813">
      <w:pPr>
        <w:jc w:val="both"/>
        <w:rPr>
          <w:rFonts w:ascii="Calibri" w:hAnsi="Calibri" w:cs="Calibri"/>
          <w:sz w:val="20"/>
          <w:szCs w:val="20"/>
          <w:lang w:val="en-GB"/>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295633" w:rsidRPr="00295633">
        <w:rPr>
          <w:rFonts w:ascii="Calibri" w:hAnsi="Calibri" w:cs="Calibri"/>
          <w:sz w:val="20"/>
          <w:szCs w:val="20"/>
          <w:lang w:val="en-GB"/>
        </w:rPr>
        <w:t xml:space="preserve">The findings highlight the need for postgraduate pharmacology curricula that intentionally scaffold students’ progression through both core and troublesome concepts. Addressing these transformative areas can support students in moving beyond knowledge acquisition towards the development of professional identity. Explicitly identifying threshold concepts within postgraduate pharmacology presents an opportunity to design targeted pedagogies that enhance student learning and improve the overall effectiveness of </w:t>
      </w:r>
      <w:r w:rsidR="00291D68">
        <w:rPr>
          <w:rFonts w:ascii="Calibri" w:hAnsi="Calibri" w:cs="Calibri"/>
          <w:sz w:val="20"/>
          <w:szCs w:val="20"/>
          <w:lang w:val="en-GB"/>
        </w:rPr>
        <w:t>Master’s</w:t>
      </w:r>
      <w:r w:rsidR="009A2E4F">
        <w:rPr>
          <w:rFonts w:ascii="Calibri" w:hAnsi="Calibri" w:cs="Calibri"/>
          <w:sz w:val="20"/>
          <w:szCs w:val="20"/>
          <w:lang w:val="en-GB"/>
        </w:rPr>
        <w:t xml:space="preserve"> level </w:t>
      </w:r>
      <w:r w:rsidR="00295633" w:rsidRPr="00295633">
        <w:rPr>
          <w:rFonts w:ascii="Calibri" w:hAnsi="Calibri" w:cs="Calibri"/>
          <w:sz w:val="20"/>
          <w:szCs w:val="20"/>
          <w:lang w:val="en-GB"/>
        </w:rPr>
        <w:t>education.</w:t>
      </w:r>
      <w:bookmarkEnd w:id="0"/>
    </w:p>
    <w:sectPr w:rsidR="00E461DC" w:rsidRPr="009A2E31"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926AC"/>
    <w:rsid w:val="000A4FA6"/>
    <w:rsid w:val="000A6321"/>
    <w:rsid w:val="00216AA8"/>
    <w:rsid w:val="002226BB"/>
    <w:rsid w:val="002272B0"/>
    <w:rsid w:val="002714A6"/>
    <w:rsid w:val="00291D68"/>
    <w:rsid w:val="00295633"/>
    <w:rsid w:val="002A309F"/>
    <w:rsid w:val="002C3BCD"/>
    <w:rsid w:val="002D6742"/>
    <w:rsid w:val="00300B92"/>
    <w:rsid w:val="003238D9"/>
    <w:rsid w:val="00333121"/>
    <w:rsid w:val="00335C2C"/>
    <w:rsid w:val="00387491"/>
    <w:rsid w:val="0040131B"/>
    <w:rsid w:val="00444224"/>
    <w:rsid w:val="00447395"/>
    <w:rsid w:val="00483B05"/>
    <w:rsid w:val="004950D3"/>
    <w:rsid w:val="004C5FE6"/>
    <w:rsid w:val="004E28B9"/>
    <w:rsid w:val="004E50FC"/>
    <w:rsid w:val="004E5450"/>
    <w:rsid w:val="0059609A"/>
    <w:rsid w:val="00597659"/>
    <w:rsid w:val="005D1700"/>
    <w:rsid w:val="005E48A2"/>
    <w:rsid w:val="005E62BE"/>
    <w:rsid w:val="0060743C"/>
    <w:rsid w:val="00640A3A"/>
    <w:rsid w:val="006C656B"/>
    <w:rsid w:val="00711813"/>
    <w:rsid w:val="00724E3C"/>
    <w:rsid w:val="00743C46"/>
    <w:rsid w:val="00760B17"/>
    <w:rsid w:val="007B4FAE"/>
    <w:rsid w:val="00885303"/>
    <w:rsid w:val="008909C9"/>
    <w:rsid w:val="00947B77"/>
    <w:rsid w:val="009A2E31"/>
    <w:rsid w:val="009A2E4F"/>
    <w:rsid w:val="009E2228"/>
    <w:rsid w:val="009F06D6"/>
    <w:rsid w:val="00A266B4"/>
    <w:rsid w:val="00A405C3"/>
    <w:rsid w:val="00A71DEF"/>
    <w:rsid w:val="00AA16F8"/>
    <w:rsid w:val="00AE2DA6"/>
    <w:rsid w:val="00AF3FF4"/>
    <w:rsid w:val="00B57F65"/>
    <w:rsid w:val="00B84D7C"/>
    <w:rsid w:val="00BC5FCC"/>
    <w:rsid w:val="00C119CE"/>
    <w:rsid w:val="00C132EC"/>
    <w:rsid w:val="00C60A71"/>
    <w:rsid w:val="00CA5DA7"/>
    <w:rsid w:val="00D55F3B"/>
    <w:rsid w:val="00D8210F"/>
    <w:rsid w:val="00DA2731"/>
    <w:rsid w:val="00DB09AF"/>
    <w:rsid w:val="00DB2106"/>
    <w:rsid w:val="00DB3620"/>
    <w:rsid w:val="00DF3CAE"/>
    <w:rsid w:val="00E32816"/>
    <w:rsid w:val="00E461DC"/>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24840"/>
  <w15:chartTrackingRefBased/>
  <w15:docId w15:val="{5577F305-2872-490B-A32C-39F7B738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styleId="CommentText">
    <w:name w:val="annotation text"/>
    <w:basedOn w:val="Normal"/>
    <w:link w:val="CommentTextChar"/>
    <w:uiPriority w:val="99"/>
    <w:unhideWhenUsed/>
    <w:rsid w:val="00DB09AF"/>
    <w:pPr>
      <w:spacing w:after="160"/>
    </w:pPr>
    <w:rPr>
      <w:rFonts w:ascii="Aptos" w:eastAsia="Aptos" w:hAnsi="Aptos"/>
      <w:kern w:val="2"/>
      <w:sz w:val="20"/>
      <w:szCs w:val="20"/>
      <w:lang w:val="en-GB"/>
    </w:rPr>
  </w:style>
  <w:style w:type="character" w:customStyle="1" w:styleId="CommentTextChar">
    <w:name w:val="Comment Text Char"/>
    <w:link w:val="CommentText"/>
    <w:uiPriority w:val="99"/>
    <w:rsid w:val="00DB09AF"/>
    <w:rPr>
      <w:rFonts w:ascii="Aptos" w:eastAsia="Aptos" w:hAnsi="Aptos"/>
      <w:kern w:val="2"/>
      <w:lang w:eastAsia="en-US"/>
    </w:rPr>
  </w:style>
  <w:style w:type="character" w:styleId="CommentReference">
    <w:name w:val="annotation reference"/>
    <w:uiPriority w:val="99"/>
    <w:semiHidden/>
    <w:unhideWhenUsed/>
    <w:rsid w:val="00DB09AF"/>
    <w:rPr>
      <w:sz w:val="16"/>
      <w:szCs w:val="16"/>
    </w:rPr>
  </w:style>
  <w:style w:type="paragraph" w:styleId="CommentSubject">
    <w:name w:val="annotation subject"/>
    <w:basedOn w:val="CommentText"/>
    <w:next w:val="CommentText"/>
    <w:link w:val="CommentSubjectChar"/>
    <w:uiPriority w:val="99"/>
    <w:semiHidden/>
    <w:unhideWhenUsed/>
    <w:rsid w:val="002A309F"/>
    <w:pPr>
      <w:spacing w:after="0"/>
    </w:pPr>
    <w:rPr>
      <w:rFonts w:ascii="Times New Roman" w:eastAsia="Times New Roman" w:hAnsi="Times New Roman"/>
      <w:b/>
      <w:bCs/>
      <w:kern w:val="0"/>
      <w:lang w:val="en-US"/>
    </w:rPr>
  </w:style>
  <w:style w:type="character" w:customStyle="1" w:styleId="CommentSubjectChar">
    <w:name w:val="Comment Subject Char"/>
    <w:link w:val="CommentSubject"/>
    <w:uiPriority w:val="99"/>
    <w:semiHidden/>
    <w:rsid w:val="002A309F"/>
    <w:rPr>
      <w:rFonts w:ascii="Aptos" w:eastAsia="Aptos" w:hAnsi="Aptos"/>
      <w:b/>
      <w:bCs/>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83167">
      <w:bodyDiv w:val="1"/>
      <w:marLeft w:val="0"/>
      <w:marRight w:val="0"/>
      <w:marTop w:val="0"/>
      <w:marBottom w:val="0"/>
      <w:divBdr>
        <w:top w:val="none" w:sz="0" w:space="0" w:color="auto"/>
        <w:left w:val="none" w:sz="0" w:space="0" w:color="auto"/>
        <w:bottom w:val="none" w:sz="0" w:space="0" w:color="auto"/>
        <w:right w:val="none" w:sz="0" w:space="0" w:color="auto"/>
      </w:divBdr>
    </w:div>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1806660001">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D2C2B-9551-42E4-ABB0-917D87EEB501}">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Khan, Fouzia</cp:lastModifiedBy>
  <cp:revision>8</cp:revision>
  <cp:lastPrinted>2013-06-13T14:15:00Z</cp:lastPrinted>
  <dcterms:created xsi:type="dcterms:W3CDTF">2025-09-01T14:56:00Z</dcterms:created>
  <dcterms:modified xsi:type="dcterms:W3CDTF">2025-09-02T08:52:00Z</dcterms:modified>
</cp:coreProperties>
</file>