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E4F8A2" w14:textId="1BB790F8" w:rsidR="00FA5387" w:rsidRDefault="003A365D" w:rsidP="00153379">
      <w:pPr>
        <w:spacing w:after="0" w:line="240" w:lineRule="auto"/>
        <w:rPr>
          <w:rFonts w:ascii="Arial" w:eastAsia="Calibri" w:hAnsi="Arial" w:cs="Calibri"/>
          <w:b/>
          <w:bCs/>
          <w:kern w:val="0"/>
          <w14:ligatures w14:val="none"/>
        </w:rPr>
      </w:pPr>
      <w:r>
        <w:rPr>
          <w:rFonts w:ascii="Arial" w:eastAsia="Calibri" w:hAnsi="Arial" w:cs="Calibri"/>
          <w:b/>
          <w:bCs/>
          <w:kern w:val="0"/>
          <w:lang w:val="en-US"/>
          <w14:ligatures w14:val="none"/>
        </w:rPr>
        <w:t xml:space="preserve">Development and </w:t>
      </w:r>
      <w:r w:rsidR="005D30D6">
        <w:rPr>
          <w:rFonts w:ascii="Arial" w:eastAsia="Calibri" w:hAnsi="Arial" w:cs="Calibri"/>
          <w:b/>
          <w:bCs/>
          <w:kern w:val="0"/>
          <w:lang w:val="en-US"/>
          <w14:ligatures w14:val="none"/>
        </w:rPr>
        <w:t>Validat</w:t>
      </w:r>
      <w:r>
        <w:rPr>
          <w:rFonts w:ascii="Arial" w:eastAsia="Calibri" w:hAnsi="Arial" w:cs="Calibri"/>
          <w:b/>
          <w:bCs/>
          <w:kern w:val="0"/>
          <w:lang w:val="en-US"/>
          <w14:ligatures w14:val="none"/>
        </w:rPr>
        <w:t xml:space="preserve">ion </w:t>
      </w:r>
      <w:r w:rsidR="00153379">
        <w:rPr>
          <w:rFonts w:ascii="Arial" w:eastAsia="Calibri" w:hAnsi="Arial" w:cs="Calibri"/>
          <w:b/>
          <w:bCs/>
          <w:kern w:val="0"/>
          <w:lang w:val="en-US"/>
          <w14:ligatures w14:val="none"/>
        </w:rPr>
        <w:t>O</w:t>
      </w:r>
      <w:r>
        <w:rPr>
          <w:rFonts w:ascii="Arial" w:eastAsia="Calibri" w:hAnsi="Arial" w:cs="Calibri"/>
          <w:b/>
          <w:bCs/>
          <w:kern w:val="0"/>
          <w:lang w:val="en-US"/>
          <w14:ligatures w14:val="none"/>
        </w:rPr>
        <w:t xml:space="preserve">f </w:t>
      </w:r>
      <w:r w:rsidR="00153379">
        <w:rPr>
          <w:rFonts w:ascii="Arial" w:eastAsia="Calibri" w:hAnsi="Arial" w:cs="Calibri"/>
          <w:b/>
          <w:bCs/>
          <w:kern w:val="0"/>
          <w:lang w:val="en-US"/>
          <w14:ligatures w14:val="none"/>
        </w:rPr>
        <w:t>A</w:t>
      </w:r>
      <w:r w:rsidR="005D30D6">
        <w:rPr>
          <w:rFonts w:ascii="Arial" w:eastAsia="Calibri" w:hAnsi="Arial" w:cs="Calibri"/>
          <w:b/>
          <w:bCs/>
          <w:kern w:val="0"/>
          <w:lang w:val="en-US"/>
          <w14:ligatures w14:val="none"/>
        </w:rPr>
        <w:t xml:space="preserve"> </w:t>
      </w:r>
      <w:r w:rsidR="00B76184">
        <w:rPr>
          <w:rFonts w:ascii="Arial" w:eastAsia="Calibri" w:hAnsi="Arial" w:cs="Calibri"/>
          <w:b/>
          <w:bCs/>
          <w:kern w:val="0"/>
          <w:lang w:val="en-US"/>
          <w14:ligatures w14:val="none"/>
        </w:rPr>
        <w:t>H</w:t>
      </w:r>
      <w:r w:rsidR="00A73BAB">
        <w:rPr>
          <w:rFonts w:ascii="Arial" w:eastAsia="Calibri" w:hAnsi="Arial" w:cs="Calibri"/>
          <w:b/>
          <w:bCs/>
          <w:kern w:val="0"/>
          <w:lang w:val="en-US"/>
          <w14:ligatures w14:val="none"/>
        </w:rPr>
        <w:t xml:space="preserve">igh </w:t>
      </w:r>
      <w:r w:rsidR="00B76184">
        <w:rPr>
          <w:rFonts w:ascii="Arial" w:eastAsia="Calibri" w:hAnsi="Arial" w:cs="Calibri"/>
          <w:b/>
          <w:bCs/>
          <w:kern w:val="0"/>
          <w:lang w:val="en-US"/>
          <w14:ligatures w14:val="none"/>
        </w:rPr>
        <w:t>P</w:t>
      </w:r>
      <w:r w:rsidR="00A73BAB">
        <w:rPr>
          <w:rFonts w:ascii="Arial" w:eastAsia="Calibri" w:hAnsi="Arial" w:cs="Calibri"/>
          <w:b/>
          <w:bCs/>
          <w:kern w:val="0"/>
          <w:lang w:val="en-US"/>
          <w14:ligatures w14:val="none"/>
        </w:rPr>
        <w:t xml:space="preserve">erformance </w:t>
      </w:r>
      <w:r w:rsidR="00B76184">
        <w:rPr>
          <w:rFonts w:ascii="Arial" w:eastAsia="Calibri" w:hAnsi="Arial" w:cs="Calibri"/>
          <w:b/>
          <w:bCs/>
          <w:kern w:val="0"/>
          <w:lang w:val="en-US"/>
          <w14:ligatures w14:val="none"/>
        </w:rPr>
        <w:t>T</w:t>
      </w:r>
      <w:r w:rsidR="00A73BAB">
        <w:rPr>
          <w:rFonts w:ascii="Arial" w:eastAsia="Calibri" w:hAnsi="Arial" w:cs="Calibri"/>
          <w:b/>
          <w:bCs/>
          <w:kern w:val="0"/>
          <w:lang w:val="en-US"/>
          <w14:ligatures w14:val="none"/>
        </w:rPr>
        <w:t>hin-</w:t>
      </w:r>
      <w:r w:rsidR="00B76184">
        <w:rPr>
          <w:rFonts w:ascii="Arial" w:eastAsia="Calibri" w:hAnsi="Arial" w:cs="Calibri"/>
          <w:b/>
          <w:bCs/>
          <w:kern w:val="0"/>
          <w:lang w:val="en-US"/>
          <w14:ligatures w14:val="none"/>
        </w:rPr>
        <w:t>L</w:t>
      </w:r>
      <w:r w:rsidR="00A73BAB">
        <w:rPr>
          <w:rFonts w:ascii="Arial" w:eastAsia="Calibri" w:hAnsi="Arial" w:cs="Calibri"/>
          <w:b/>
          <w:bCs/>
          <w:kern w:val="0"/>
          <w:lang w:val="en-US"/>
          <w14:ligatures w14:val="none"/>
        </w:rPr>
        <w:t xml:space="preserve">ayer </w:t>
      </w:r>
      <w:r w:rsidR="00B76184">
        <w:rPr>
          <w:rFonts w:ascii="Arial" w:eastAsia="Calibri" w:hAnsi="Arial" w:cs="Calibri"/>
          <w:b/>
          <w:bCs/>
          <w:kern w:val="0"/>
          <w:lang w:val="en-US"/>
          <w14:ligatures w14:val="none"/>
        </w:rPr>
        <w:t>C</w:t>
      </w:r>
      <w:r w:rsidR="004A2509">
        <w:rPr>
          <w:rFonts w:ascii="Arial" w:eastAsia="Calibri" w:hAnsi="Arial" w:cs="Calibri"/>
          <w:b/>
          <w:bCs/>
          <w:kern w:val="0"/>
          <w:lang w:val="en-US"/>
          <w14:ligatures w14:val="none"/>
        </w:rPr>
        <w:t>hromatography</w:t>
      </w:r>
      <w:r w:rsidR="008F5304">
        <w:rPr>
          <w:rFonts w:ascii="Arial" w:eastAsia="Calibri" w:hAnsi="Arial" w:cs="Calibri"/>
          <w:b/>
          <w:bCs/>
          <w:kern w:val="0"/>
          <w:lang w:val="en-US"/>
          <w14:ligatures w14:val="none"/>
        </w:rPr>
        <w:t xml:space="preserve"> (</w:t>
      </w:r>
      <w:r w:rsidR="00FA5387">
        <w:rPr>
          <w:rFonts w:ascii="Arial" w:eastAsia="Calibri" w:hAnsi="Arial" w:cs="Calibri"/>
          <w:b/>
          <w:bCs/>
          <w:kern w:val="0"/>
          <w:lang w:val="en-US"/>
          <w14:ligatures w14:val="none"/>
        </w:rPr>
        <w:t>HPTLC</w:t>
      </w:r>
      <w:r w:rsidR="008F5304">
        <w:rPr>
          <w:rFonts w:ascii="Arial" w:eastAsia="Calibri" w:hAnsi="Arial" w:cs="Calibri"/>
          <w:b/>
          <w:bCs/>
          <w:kern w:val="0"/>
          <w:lang w:val="en-US"/>
          <w14:ligatures w14:val="none"/>
        </w:rPr>
        <w:t xml:space="preserve">) </w:t>
      </w:r>
      <w:r w:rsidR="0096278E">
        <w:rPr>
          <w:rFonts w:ascii="Arial" w:eastAsia="Calibri" w:hAnsi="Arial" w:cs="Calibri"/>
          <w:b/>
          <w:bCs/>
          <w:kern w:val="0"/>
          <w:lang w:val="en-US"/>
          <w14:ligatures w14:val="none"/>
        </w:rPr>
        <w:t>Method</w:t>
      </w:r>
      <w:r w:rsidR="00E635D2">
        <w:rPr>
          <w:rFonts w:ascii="Arial" w:eastAsia="Calibri" w:hAnsi="Arial" w:cs="Calibri"/>
          <w:b/>
          <w:bCs/>
          <w:kern w:val="0"/>
          <w:lang w:val="en-US"/>
          <w14:ligatures w14:val="none"/>
        </w:rPr>
        <w:t xml:space="preserve"> </w:t>
      </w:r>
      <w:r w:rsidR="00153379">
        <w:rPr>
          <w:rFonts w:ascii="Arial" w:eastAsia="Calibri" w:hAnsi="Arial" w:cs="Calibri"/>
          <w:b/>
          <w:bCs/>
          <w:kern w:val="0"/>
          <w:lang w:val="en-US"/>
          <w14:ligatures w14:val="none"/>
        </w:rPr>
        <w:t>F</w:t>
      </w:r>
      <w:r w:rsidR="005D30D6">
        <w:rPr>
          <w:rFonts w:ascii="Arial" w:eastAsia="Calibri" w:hAnsi="Arial" w:cs="Calibri"/>
          <w:b/>
          <w:bCs/>
          <w:kern w:val="0"/>
          <w:lang w:val="en-US"/>
          <w14:ligatures w14:val="none"/>
        </w:rPr>
        <w:t>or</w:t>
      </w:r>
      <w:r w:rsidR="00221282">
        <w:rPr>
          <w:rFonts w:ascii="Arial" w:eastAsia="Calibri" w:hAnsi="Arial" w:cs="Calibri"/>
          <w:b/>
          <w:bCs/>
          <w:kern w:val="0"/>
          <w:lang w:val="en-US"/>
          <w14:ligatures w14:val="none"/>
        </w:rPr>
        <w:t xml:space="preserve"> </w:t>
      </w:r>
      <w:r w:rsidR="005D30D6">
        <w:rPr>
          <w:rFonts w:ascii="Arial" w:eastAsia="Calibri" w:hAnsi="Arial" w:cs="Calibri"/>
          <w:b/>
          <w:bCs/>
          <w:kern w:val="0"/>
          <w:lang w:val="en-US"/>
          <w14:ligatures w14:val="none"/>
        </w:rPr>
        <w:t>Analyzing Caffeine</w:t>
      </w:r>
      <w:r w:rsidR="00186439">
        <w:rPr>
          <w:rFonts w:ascii="Arial" w:eastAsia="Calibri" w:hAnsi="Arial" w:cs="Calibri"/>
          <w:b/>
          <w:bCs/>
          <w:kern w:val="0"/>
          <w:lang w:val="en-US"/>
          <w14:ligatures w14:val="none"/>
        </w:rPr>
        <w:t xml:space="preserve"> </w:t>
      </w:r>
      <w:r w:rsidR="00153379">
        <w:rPr>
          <w:rFonts w:ascii="Arial" w:eastAsia="Calibri" w:hAnsi="Arial" w:cs="Calibri"/>
          <w:b/>
          <w:bCs/>
          <w:kern w:val="0"/>
          <w:lang w:val="en-US"/>
          <w14:ligatures w14:val="none"/>
        </w:rPr>
        <w:t>I</w:t>
      </w:r>
      <w:r w:rsidR="00615696">
        <w:rPr>
          <w:rFonts w:ascii="Arial" w:eastAsia="Calibri" w:hAnsi="Arial" w:cs="Calibri"/>
          <w:b/>
          <w:bCs/>
          <w:kern w:val="0"/>
          <w:lang w:val="en-US"/>
          <w14:ligatures w14:val="none"/>
        </w:rPr>
        <w:t>n Saliva</w:t>
      </w:r>
      <w:r w:rsidR="005D30D6">
        <w:rPr>
          <w:rFonts w:ascii="Arial" w:eastAsia="Calibri" w:hAnsi="Arial" w:cs="Calibri"/>
          <w:b/>
          <w:bCs/>
          <w:kern w:val="0"/>
          <w:lang w:val="en-US"/>
          <w14:ligatures w14:val="none"/>
        </w:rPr>
        <w:t xml:space="preserve"> </w:t>
      </w:r>
      <w:r w:rsidR="00153379">
        <w:rPr>
          <w:rFonts w:ascii="Arial" w:eastAsia="Calibri" w:hAnsi="Arial" w:cs="Calibri"/>
          <w:b/>
          <w:bCs/>
          <w:kern w:val="0"/>
          <w14:ligatures w14:val="none"/>
        </w:rPr>
        <w:t>F</w:t>
      </w:r>
      <w:r w:rsidR="00600FE2" w:rsidRPr="00600FE2">
        <w:rPr>
          <w:rFonts w:ascii="Arial" w:eastAsia="Calibri" w:hAnsi="Arial" w:cs="Calibri"/>
          <w:b/>
          <w:bCs/>
          <w:kern w:val="0"/>
          <w14:ligatures w14:val="none"/>
        </w:rPr>
        <w:t xml:space="preserve">or </w:t>
      </w:r>
      <w:r w:rsidR="00D51677" w:rsidRPr="00D51677">
        <w:rPr>
          <w:rFonts w:ascii="Arial" w:eastAsia="Calibri" w:hAnsi="Arial" w:cs="Calibri"/>
          <w:b/>
          <w:bCs/>
          <w:kern w:val="0"/>
          <w14:ligatures w14:val="none"/>
        </w:rPr>
        <w:t>CYP1A2*1F</w:t>
      </w:r>
      <w:r w:rsidR="00600FE2" w:rsidRPr="00600FE2">
        <w:rPr>
          <w:rFonts w:ascii="Arial" w:eastAsia="Calibri" w:hAnsi="Arial" w:cs="Calibri"/>
          <w:b/>
          <w:bCs/>
          <w:kern w:val="0"/>
          <w14:ligatures w14:val="none"/>
        </w:rPr>
        <w:t xml:space="preserve"> </w:t>
      </w:r>
      <w:r w:rsidR="00D51677">
        <w:rPr>
          <w:rFonts w:ascii="Arial" w:eastAsia="Calibri" w:hAnsi="Arial" w:cs="Calibri"/>
          <w:b/>
          <w:bCs/>
          <w:kern w:val="0"/>
          <w14:ligatures w14:val="none"/>
        </w:rPr>
        <w:t>P</w:t>
      </w:r>
      <w:r w:rsidR="00600FE2" w:rsidRPr="00600FE2">
        <w:rPr>
          <w:rFonts w:ascii="Arial" w:eastAsia="Calibri" w:hAnsi="Arial" w:cs="Calibri"/>
          <w:b/>
          <w:bCs/>
          <w:kern w:val="0"/>
          <w14:ligatures w14:val="none"/>
        </w:rPr>
        <w:t>henotyp</w:t>
      </w:r>
      <w:r w:rsidR="00D51677">
        <w:rPr>
          <w:rFonts w:ascii="Arial" w:eastAsia="Calibri" w:hAnsi="Arial" w:cs="Calibri"/>
          <w:b/>
          <w:bCs/>
          <w:kern w:val="0"/>
          <w14:ligatures w14:val="none"/>
        </w:rPr>
        <w:t>i</w:t>
      </w:r>
      <w:r w:rsidR="00277B7F">
        <w:rPr>
          <w:rFonts w:ascii="Arial" w:eastAsia="Calibri" w:hAnsi="Arial" w:cs="Calibri"/>
          <w:b/>
          <w:bCs/>
          <w:kern w:val="0"/>
          <w14:ligatures w14:val="none"/>
        </w:rPr>
        <w:t>ng</w:t>
      </w:r>
    </w:p>
    <w:p w14:paraId="79141BD9" w14:textId="2B9E3A69" w:rsidR="00C315D2" w:rsidRPr="00B24FA0" w:rsidRDefault="008C797D" w:rsidP="00153379">
      <w:pPr>
        <w:spacing w:after="0" w:line="240" w:lineRule="auto"/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</w:pPr>
      <w:r>
        <w:rPr>
          <w:rFonts w:ascii="Arial" w:eastAsia="Calibri" w:hAnsi="Arial" w:cs="Calibri"/>
          <w:b/>
          <w:kern w:val="0"/>
          <w:sz w:val="20"/>
          <w:szCs w:val="20"/>
          <w:u w:val="single"/>
          <w14:ligatures w14:val="none"/>
        </w:rPr>
        <w:t>K M Yasif K Sikdar</w:t>
      </w:r>
      <w:r w:rsidR="00C315D2" w:rsidRPr="00C315D2">
        <w:rPr>
          <w:rFonts w:ascii="Arial" w:eastAsia="Calibri" w:hAnsi="Arial" w:cs="Calibri"/>
          <w:b/>
          <w:kern w:val="0"/>
          <w:sz w:val="20"/>
          <w:szCs w:val="20"/>
          <w:u w:val="single"/>
          <w:vertAlign w:val="superscript"/>
          <w14:ligatures w14:val="none"/>
        </w:rPr>
        <w:t>1</w:t>
      </w:r>
      <w:r w:rsidR="00C315D2"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, </w:t>
      </w:r>
      <w:r w:rsidR="005D30D6" w:rsidRPr="005D30D6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Samara R Coverley</w:t>
      </w:r>
      <w:r w:rsidR="005D30D6">
        <w:rPr>
          <w:rFonts w:ascii="Arial" w:eastAsia="Calibri" w:hAnsi="Arial" w:cs="Calibri"/>
          <w:bCs/>
          <w:kern w:val="0"/>
          <w:sz w:val="20"/>
          <w:szCs w:val="20"/>
          <w:vertAlign w:val="superscript"/>
          <w14:ligatures w14:val="none"/>
        </w:rPr>
        <w:t>1,2</w:t>
      </w:r>
      <w:r w:rsidR="00DA766D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, </w:t>
      </w:r>
      <w:r w:rsidR="00047743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Md K Islam</w:t>
      </w:r>
      <w:r w:rsidR="00047743" w:rsidRPr="00C315D2">
        <w:rPr>
          <w:rFonts w:ascii="Arial" w:eastAsia="Calibri" w:hAnsi="Arial" w:cs="Calibri"/>
          <w:bCs/>
          <w:kern w:val="0"/>
          <w:sz w:val="20"/>
          <w:szCs w:val="20"/>
          <w:vertAlign w:val="superscript"/>
          <w14:ligatures w14:val="none"/>
        </w:rPr>
        <w:t>1</w:t>
      </w:r>
      <w:r w:rsidR="00047743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,</w:t>
      </w:r>
      <w:r w:rsidR="00155E04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Ok</w:t>
      </w:r>
      <w:r w:rsidR="00FD6D4B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h</w:t>
      </w:r>
      <w:r w:rsidR="00155E04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ee </w:t>
      </w:r>
      <w:r w:rsidR="00FD6D4B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Yoo</w:t>
      </w:r>
      <w:r w:rsidR="002216C6">
        <w:rPr>
          <w:rFonts w:ascii="Arial" w:eastAsia="Calibri" w:hAnsi="Arial" w:cs="Calibri"/>
          <w:bCs/>
          <w:kern w:val="0"/>
          <w:sz w:val="20"/>
          <w:szCs w:val="20"/>
          <w:vertAlign w:val="superscript"/>
          <w14:ligatures w14:val="none"/>
        </w:rPr>
        <w:t>1,3</w:t>
      </w:r>
      <w:r w:rsidR="00FD6D4B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,</w:t>
      </w:r>
      <w:r w:rsidR="00C30293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  <w:r w:rsidR="00E93492" w:rsidRPr="00E9349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Philip Burcham</w:t>
      </w:r>
      <w:r w:rsidR="00E93492" w:rsidRPr="00E93492">
        <w:rPr>
          <w:rFonts w:ascii="Arial" w:eastAsia="Calibri" w:hAnsi="Arial" w:cs="Calibri"/>
          <w:bCs/>
          <w:kern w:val="0"/>
          <w:sz w:val="20"/>
          <w:szCs w:val="20"/>
          <w:vertAlign w:val="superscript"/>
          <w14:ligatures w14:val="none"/>
        </w:rPr>
        <w:t>1</w:t>
      </w:r>
      <w:r w:rsidR="00C271BF">
        <w:rPr>
          <w:rFonts w:ascii="Arial" w:eastAsia="Calibri" w:hAnsi="Arial" w:cs="Calibri"/>
          <w:bCs/>
          <w:kern w:val="0"/>
          <w:sz w:val="20"/>
          <w:szCs w:val="20"/>
          <w:vertAlign w:val="superscript"/>
          <w14:ligatures w14:val="none"/>
        </w:rPr>
        <w:t>,2</w:t>
      </w:r>
      <w:r w:rsidR="00E9349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, </w:t>
      </w:r>
      <w:r w:rsidR="00DA766D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Lee Y</w:t>
      </w:r>
      <w:r w:rsidR="0087741C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ong</w:t>
      </w:r>
      <w:r w:rsidR="00DA766D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Lim</w:t>
      </w:r>
      <w:r w:rsidR="00DA766D" w:rsidRPr="00C315D2">
        <w:rPr>
          <w:rFonts w:ascii="Arial" w:eastAsia="Calibri" w:hAnsi="Arial" w:cs="Calibri"/>
          <w:bCs/>
          <w:kern w:val="0"/>
          <w:sz w:val="20"/>
          <w:szCs w:val="20"/>
          <w:vertAlign w:val="superscript"/>
          <w14:ligatures w14:val="none"/>
        </w:rPr>
        <w:t>1</w:t>
      </w:r>
      <w:r w:rsidR="003A365D">
        <w:rPr>
          <w:rFonts w:ascii="Arial" w:eastAsia="Calibri" w:hAnsi="Arial" w:cs="Calibri"/>
          <w:bCs/>
          <w:kern w:val="0"/>
          <w:sz w:val="20"/>
          <w:szCs w:val="20"/>
          <w:vertAlign w:val="superscript"/>
          <w14:ligatures w14:val="none"/>
        </w:rPr>
        <w:t>,3</w:t>
      </w:r>
      <w:r w:rsidR="00DA766D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, Co</w:t>
      </w:r>
      <w:r w:rsidR="003A365D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rnelia</w:t>
      </w:r>
      <w:r w:rsidR="00074158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Locher</w:t>
      </w:r>
      <w:r w:rsidR="00832753" w:rsidRPr="00496A80">
        <w:rPr>
          <w:rFonts w:ascii="Arial" w:eastAsia="Calibri" w:hAnsi="Arial" w:cs="Calibri"/>
          <w:bCs/>
          <w:kern w:val="0"/>
          <w:sz w:val="20"/>
          <w:szCs w:val="20"/>
          <w:vertAlign w:val="superscript"/>
          <w14:ligatures w14:val="none"/>
        </w:rPr>
        <w:t>1</w:t>
      </w:r>
      <w:r w:rsidR="003A365D">
        <w:rPr>
          <w:rFonts w:ascii="Arial" w:eastAsia="Calibri" w:hAnsi="Arial" w:cs="Calibri"/>
          <w:bCs/>
          <w:kern w:val="0"/>
          <w:sz w:val="20"/>
          <w:szCs w:val="20"/>
          <w:vertAlign w:val="superscript"/>
          <w14:ligatures w14:val="none"/>
        </w:rPr>
        <w:t>,3</w:t>
      </w:r>
      <w:r w:rsidR="00B24FA0" w:rsidRPr="00A974FE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.</w:t>
      </w:r>
    </w:p>
    <w:p w14:paraId="137D4547" w14:textId="4DC55A49" w:rsidR="00C315D2" w:rsidRDefault="003A365D" w:rsidP="00153379">
      <w:pPr>
        <w:spacing w:after="0" w:line="240" w:lineRule="auto"/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</w:pPr>
      <w:r w:rsidRPr="00BE3638">
        <w:rPr>
          <w:rFonts w:ascii="Arial" w:eastAsia="Calibri" w:hAnsi="Arial" w:cs="Calibri"/>
          <w:bCs/>
          <w:kern w:val="0"/>
          <w:sz w:val="20"/>
          <w:szCs w:val="20"/>
          <w:vertAlign w:val="superscript"/>
          <w14:ligatures w14:val="none"/>
        </w:rPr>
        <w:t>1</w:t>
      </w:r>
      <w:r w:rsidR="00074158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Division of Pharmacy</w:t>
      </w:r>
      <w:r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and Centre for Optimisation of Medicines</w:t>
      </w:r>
      <w:r w:rsidR="00C315D2"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, </w:t>
      </w:r>
      <w:r w:rsidR="00074158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The University of Western Australia</w:t>
      </w:r>
      <w:r w:rsidR="00C315D2"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, </w:t>
      </w:r>
      <w:r w:rsidR="00111F90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Crawley, WA 6009</w:t>
      </w:r>
      <w:r w:rsidR="00C315D2"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, </w:t>
      </w:r>
      <w:r w:rsidR="00074158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Australia</w:t>
      </w:r>
      <w:r w:rsidR="00200C21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;</w:t>
      </w:r>
    </w:p>
    <w:p w14:paraId="718E06BA" w14:textId="24A196B4" w:rsidR="003A365D" w:rsidRDefault="003A365D" w:rsidP="00153379">
      <w:pPr>
        <w:spacing w:after="0" w:line="240" w:lineRule="auto"/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</w:pPr>
      <w:r w:rsidRPr="00BE3638">
        <w:rPr>
          <w:rFonts w:ascii="Arial" w:eastAsia="Calibri" w:hAnsi="Arial" w:cs="Calibri"/>
          <w:bCs/>
          <w:kern w:val="0"/>
          <w:sz w:val="20"/>
          <w:szCs w:val="20"/>
          <w:vertAlign w:val="superscript"/>
          <w:lang w:val="en-US"/>
          <w14:ligatures w14:val="none"/>
        </w:rPr>
        <w:t>2</w:t>
      </w:r>
      <w:r w:rsidR="00200C21" w:rsidRPr="00200C21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Division of Pharmacology and Toxicology, </w:t>
      </w:r>
      <w:r w:rsidR="00200C21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>The</w:t>
      </w:r>
      <w:r w:rsidR="00200C21" w:rsidRPr="00200C21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 University of Western Australia, </w:t>
      </w:r>
      <w:r w:rsidR="00111F90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Crawley, WA 6009, </w:t>
      </w:r>
      <w:r w:rsidR="00C271BF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Australia</w:t>
      </w:r>
      <w:r w:rsidR="00C84B9A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;</w:t>
      </w:r>
    </w:p>
    <w:p w14:paraId="0A2DEE8A" w14:textId="37B4651A" w:rsidR="00C30293" w:rsidRDefault="003A365D" w:rsidP="00153379">
      <w:pPr>
        <w:spacing w:after="0" w:line="240" w:lineRule="auto"/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</w:pPr>
      <w:r w:rsidRPr="00BE3638">
        <w:rPr>
          <w:rFonts w:ascii="Arial" w:eastAsia="Calibri" w:hAnsi="Arial" w:cs="Calibri"/>
          <w:bCs/>
          <w:kern w:val="0"/>
          <w:sz w:val="20"/>
          <w:szCs w:val="20"/>
          <w:vertAlign w:val="superscript"/>
          <w14:ligatures w14:val="none"/>
        </w:rPr>
        <w:t>3</w:t>
      </w:r>
      <w:r w:rsidR="00111F90" w:rsidRPr="00111F90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Institute for Paediatric Perioperative Excellence, The University of Western Australia,</w:t>
      </w:r>
      <w:r w:rsidR="00C84B9A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  <w:r w:rsidR="00111F90" w:rsidRPr="00111F90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Crawley, WA 6009, Australia</w:t>
      </w:r>
      <w:r w:rsidR="00C271BF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.</w:t>
      </w:r>
    </w:p>
    <w:p w14:paraId="2DD37039" w14:textId="3DB60015" w:rsidR="00C315D2" w:rsidRPr="00C315D2" w:rsidRDefault="00C315D2" w:rsidP="00C30293">
      <w:pPr>
        <w:spacing w:after="0" w:line="240" w:lineRule="auto"/>
        <w:jc w:val="both"/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</w:pPr>
      <w:r w:rsidRPr="00C315D2">
        <w:rPr>
          <w:rFonts w:ascii="Arial" w:eastAsia="Calibri" w:hAnsi="Arial" w:cs="Calibri"/>
          <w:bCs/>
          <w:i/>
          <w:kern w:val="0"/>
          <w:sz w:val="20"/>
          <w:szCs w:val="20"/>
          <w:lang w:val="en-US"/>
          <w14:ligatures w14:val="none"/>
        </w:rPr>
        <w:t xml:space="preserve"> </w:t>
      </w:r>
    </w:p>
    <w:p w14:paraId="15D93483" w14:textId="6E42DB53" w:rsidR="00C315D2" w:rsidRDefault="00B8473A" w:rsidP="004E5776">
      <w:pPr>
        <w:spacing w:after="0" w:line="240" w:lineRule="auto"/>
        <w:jc w:val="both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  <w:r w:rsidRPr="00212400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Background and aims</w:t>
      </w:r>
      <w:r w:rsidR="00F17C18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.</w:t>
      </w:r>
      <w:r w:rsidR="00DF2A9F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 xml:space="preserve"> </w:t>
      </w:r>
      <w:r w:rsidR="004C0374" w:rsidRPr="00276559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CYP1A2*1F plays a critical role in the metabolism of various drugs</w:t>
      </w:r>
      <w:r w:rsidR="009872D7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 such as </w:t>
      </w:r>
      <w:r w:rsidR="0020201E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clozapine, propranolol</w:t>
      </w:r>
      <w:r w:rsidR="009F263B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 and</w:t>
      </w:r>
      <w:r w:rsidR="0020201E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 warfarin</w:t>
      </w:r>
      <w:r w:rsidR="00067C6C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. </w:t>
      </w:r>
      <w:r w:rsidR="00287D9A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C</w:t>
      </w:r>
      <w:r w:rsidR="00287D9A" w:rsidRPr="00287D9A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affeine is the probe drug of choice </w:t>
      </w:r>
      <w:r w:rsidR="004C0374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for </w:t>
      </w:r>
      <w:r w:rsidR="00DF2A9F" w:rsidRPr="00DF2A9F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CYP1A2*1F</w:t>
      </w:r>
      <w:r w:rsidR="00DF2A9F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 </w:t>
      </w:r>
      <w:r w:rsidR="00DF2A9F" w:rsidRPr="00DF2A9F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phenotyp</w:t>
      </w:r>
      <w:r w:rsidR="00EB2CDE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ing</w:t>
      </w:r>
      <w:r w:rsidR="00276559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.</w:t>
      </w:r>
      <w:r w:rsidR="006232F4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 </w:t>
      </w:r>
      <w:r w:rsidR="006232F4" w:rsidRPr="006232F4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Due to the non-invasive nature of sampling, saliva is an alternative biofluid</w:t>
      </w:r>
      <w:r w:rsidR="00395D33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 to plasma for monitoring caffeine levels</w:t>
      </w:r>
      <w:r w:rsidR="00825FD5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. </w:t>
      </w:r>
      <w:r w:rsidR="005D2328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This study aims to </w:t>
      </w:r>
      <w:r w:rsidR="003B0DE6" w:rsidRPr="003B0DE6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develop a</w:t>
      </w:r>
      <w:r w:rsidR="00EE5F2B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nd</w:t>
      </w:r>
      <w:r w:rsidR="003B0DE6" w:rsidRPr="003B0DE6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 validate </w:t>
      </w:r>
      <w:r w:rsidR="00EE5F2B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a </w:t>
      </w:r>
      <w:r w:rsidR="003B0DE6" w:rsidRPr="003B0DE6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HPTLC method for </w:t>
      </w:r>
      <w:r w:rsidR="00C02AFB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quantifying</w:t>
      </w:r>
      <w:r w:rsidR="00C02AFB" w:rsidRPr="003B0DE6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 </w:t>
      </w:r>
      <w:r w:rsidR="003B0DE6" w:rsidRPr="003B0DE6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salivary caffeine</w:t>
      </w:r>
      <w:r w:rsidR="005D2328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 levels</w:t>
      </w:r>
      <w:r w:rsidR="003B0DE6" w:rsidRPr="003B0DE6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 and </w:t>
      </w:r>
      <w:r w:rsidR="002C7E07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to </w:t>
      </w:r>
      <w:r w:rsidR="003B0DE6" w:rsidRPr="003B0DE6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demonstrate its value in </w:t>
      </w:r>
      <w:r w:rsidR="000275A8" w:rsidRPr="00BE3638">
        <w:rPr>
          <w:rFonts w:ascii="Arial" w:eastAsia="Calibri" w:hAnsi="Arial" w:cs="Calibri"/>
          <w:kern w:val="0"/>
          <w:sz w:val="20"/>
          <w:szCs w:val="20"/>
          <w14:ligatures w14:val="none"/>
        </w:rPr>
        <w:t xml:space="preserve">CYP1A2*1F </w:t>
      </w:r>
      <w:r w:rsidR="000275A8">
        <w:rPr>
          <w:rFonts w:ascii="Arial" w:eastAsia="Calibri" w:hAnsi="Arial" w:cs="Calibri"/>
          <w:kern w:val="0"/>
          <w:sz w:val="20"/>
          <w:szCs w:val="20"/>
          <w14:ligatures w14:val="none"/>
        </w:rPr>
        <w:t>p</w:t>
      </w:r>
      <w:r w:rsidR="000275A8" w:rsidRPr="00BE3638">
        <w:rPr>
          <w:rFonts w:ascii="Arial" w:eastAsia="Calibri" w:hAnsi="Arial" w:cs="Calibri"/>
          <w:kern w:val="0"/>
          <w:sz w:val="20"/>
          <w:szCs w:val="20"/>
          <w14:ligatures w14:val="none"/>
        </w:rPr>
        <w:t xml:space="preserve">henotypic </w:t>
      </w:r>
      <w:r w:rsidR="000275A8">
        <w:rPr>
          <w:rFonts w:ascii="Arial" w:eastAsia="Calibri" w:hAnsi="Arial" w:cs="Calibri"/>
          <w:kern w:val="0"/>
          <w:sz w:val="20"/>
          <w:szCs w:val="20"/>
          <w14:ligatures w14:val="none"/>
        </w:rPr>
        <w:t>a</w:t>
      </w:r>
      <w:r w:rsidR="000275A8" w:rsidRPr="00BE3638">
        <w:rPr>
          <w:rFonts w:ascii="Arial" w:eastAsia="Calibri" w:hAnsi="Arial" w:cs="Calibri"/>
          <w:kern w:val="0"/>
          <w:sz w:val="20"/>
          <w:szCs w:val="20"/>
          <w14:ligatures w14:val="none"/>
        </w:rPr>
        <w:t>ssessment</w:t>
      </w:r>
      <w:r w:rsidR="000275A8">
        <w:rPr>
          <w:rFonts w:ascii="Arial" w:eastAsia="Calibri" w:hAnsi="Arial" w:cs="Calibri"/>
          <w:kern w:val="0"/>
          <w:sz w:val="20"/>
          <w:szCs w:val="20"/>
          <w14:ligatures w14:val="none"/>
        </w:rPr>
        <w:t>s</w:t>
      </w:r>
      <w:r w:rsidR="005D2328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.</w:t>
      </w:r>
    </w:p>
    <w:p w14:paraId="3CA898B3" w14:textId="77777777" w:rsidR="00F01A32" w:rsidRPr="00212400" w:rsidRDefault="00F01A32" w:rsidP="004E5776">
      <w:pPr>
        <w:spacing w:after="0" w:line="240" w:lineRule="auto"/>
        <w:jc w:val="both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</w:p>
    <w:p w14:paraId="26B5CD99" w14:textId="47B818AB" w:rsidR="00EE4338" w:rsidRPr="00EE4338" w:rsidRDefault="00C315D2" w:rsidP="00EE4338">
      <w:pPr>
        <w:spacing w:after="0" w:line="240" w:lineRule="auto"/>
        <w:jc w:val="both"/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</w:pPr>
      <w:r w:rsidRPr="005975C2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Methods.</w:t>
      </w:r>
      <w:r w:rsidRPr="005975C2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 </w:t>
      </w:r>
      <w:r w:rsidR="000275A8" w:rsidRPr="005975C2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A HPTLC method </w:t>
      </w:r>
      <w:r w:rsidR="001B04AB" w:rsidRPr="005975C2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using </w:t>
      </w:r>
      <w:r w:rsidR="00326103" w:rsidRPr="005975C2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s</w:t>
      </w:r>
      <w:r w:rsidR="00326103" w:rsidRPr="009E0591"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eastAsia="en-GB"/>
          <w14:ligatures w14:val="none"/>
        </w:rPr>
        <w:t>ilica gel 60 F254 plates</w:t>
      </w:r>
      <w:r w:rsidR="001B04AB" w:rsidRPr="005975C2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 </w:t>
      </w:r>
      <w:r w:rsidR="00046C70" w:rsidRPr="005975C2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and acetone</w:t>
      </w:r>
      <w:r w:rsidR="00326103" w:rsidRPr="005975C2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:</w:t>
      </w:r>
      <w:r w:rsidR="00296AA3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 </w:t>
      </w:r>
      <w:r w:rsidR="00326103" w:rsidRPr="005975C2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toluene:</w:t>
      </w:r>
      <w:r w:rsidR="00296AA3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 </w:t>
      </w:r>
      <w:r w:rsidR="00326103" w:rsidRPr="005975C2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chloroform (4:3:3, </w:t>
      </w:r>
      <w:r w:rsidR="00326103" w:rsidRPr="005975C2">
        <w:rPr>
          <w:rFonts w:ascii="Arial" w:eastAsia="Calibri" w:hAnsi="Arial" w:cs="Arial"/>
          <w:bCs/>
          <w:i/>
          <w:iCs/>
          <w:kern w:val="0"/>
          <w:sz w:val="20"/>
          <w:szCs w:val="20"/>
          <w14:ligatures w14:val="none"/>
        </w:rPr>
        <w:t>v/v/v)</w:t>
      </w:r>
      <w:r w:rsidR="001B04AB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 as mobile phase </w:t>
      </w:r>
      <w:r w:rsidR="000275A8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was developed and validated in a</w:t>
      </w:r>
      <w:r w:rsidR="00536E9A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ccord</w:t>
      </w:r>
      <w:r w:rsidR="000275A8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ance with</w:t>
      </w:r>
      <w:r w:rsidR="00536E9A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 </w:t>
      </w:r>
      <w:r w:rsidR="000973B3" w:rsidRPr="000973B3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International Council for Harmonisation</w:t>
      </w:r>
      <w:r w:rsidR="001E2B5C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 (ICH)</w:t>
      </w:r>
      <w:r w:rsidR="000973B3" w:rsidRPr="000973B3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 guidelines</w:t>
      </w:r>
      <w:r w:rsidR="00630B0C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. </w:t>
      </w:r>
      <w:r w:rsidR="00585DD8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An optimised s</w:t>
      </w:r>
      <w:r w:rsidR="00CC6CFC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aliva processing </w:t>
      </w:r>
      <w:r w:rsidR="00585DD8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protocol using a 1:1 dilution with methanol was </w:t>
      </w:r>
      <w:r w:rsidR="005B66AC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also established. 20 clinical saliva sample sets </w:t>
      </w:r>
      <w:r w:rsidR="00D22BA8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collected </w:t>
      </w:r>
      <w:r w:rsidR="00B3436F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0-4</w:t>
      </w:r>
      <w:r w:rsidR="009D4481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 </w:t>
      </w:r>
      <w:r w:rsidR="00B3436F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h</w:t>
      </w:r>
      <w:r w:rsidR="00D22BA8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 after ingestion of </w:t>
      </w:r>
      <w:r w:rsidR="00361E6F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100 mg</w:t>
      </w:r>
      <w:r w:rsidR="00D22BA8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 caffeine </w:t>
      </w:r>
      <w:r w:rsidR="00A1422F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were </w:t>
      </w:r>
      <w:r w:rsidR="005B66AC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analysed using </w:t>
      </w:r>
      <w:r w:rsidR="00A1422F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this approach</w:t>
      </w:r>
      <w:r w:rsidR="00D22BA8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. </w:t>
      </w:r>
      <w:r w:rsidR="002227B6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Following </w:t>
      </w:r>
      <w:r w:rsidR="00FE3F0B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PCR-RFLP genotyping</w:t>
      </w:r>
      <w:r w:rsidR="009D4481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,</w:t>
      </w:r>
      <w:r w:rsidR="002227B6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 measured s</w:t>
      </w:r>
      <w:r w:rsidR="00D816C6" w:rsidRPr="00D816C6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aliva caffeine concentrations were used to develop a population pharmacokinetic (PK) model</w:t>
      </w:r>
      <w:r w:rsidR="00D816C6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 to </w:t>
      </w:r>
      <w:r w:rsidR="003B2BD7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demonstrate </w:t>
      </w:r>
      <w:r w:rsidR="008841D2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differences in caffeine clearance between </w:t>
      </w:r>
      <w:r w:rsidR="00277B7F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ge</w:t>
      </w:r>
      <w:r w:rsidR="003B2BD7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n</w:t>
      </w:r>
      <w:r w:rsidR="00277B7F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otypes (</w:t>
      </w:r>
      <w:r w:rsidR="003B2BD7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AA, AC, CC) </w:t>
      </w:r>
      <w:r w:rsidR="008841D2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and </w:t>
      </w:r>
      <w:r w:rsidR="003B2BD7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to assess</w:t>
      </w:r>
      <w:r w:rsidR="00D816C6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 </w:t>
      </w:r>
      <w:r w:rsidR="00D816C6" w:rsidRPr="00D816C6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CYP1A2*1F </w:t>
      </w:r>
      <w:r w:rsidR="00D816C6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activity.</w:t>
      </w:r>
    </w:p>
    <w:p w14:paraId="69A76764" w14:textId="540B5FF2" w:rsidR="00C47A69" w:rsidRPr="00212400" w:rsidRDefault="00EE4338" w:rsidP="00EE4338">
      <w:pPr>
        <w:spacing w:after="0" w:line="240" w:lineRule="auto"/>
        <w:jc w:val="both"/>
        <w:rPr>
          <w:rFonts w:ascii="Arial" w:eastAsia="Calibri" w:hAnsi="Arial" w:cs="Arial"/>
          <w:b/>
          <w:bCs/>
          <w:kern w:val="0"/>
          <w:sz w:val="20"/>
          <w:szCs w:val="20"/>
          <w:lang w:val="en-GB"/>
          <w14:ligatures w14:val="none"/>
        </w:rPr>
      </w:pPr>
      <w:r w:rsidRPr="00EE4338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ab/>
      </w:r>
    </w:p>
    <w:p w14:paraId="4D2A4D49" w14:textId="0BC3280F" w:rsidR="007C3A4E" w:rsidRDefault="00795378" w:rsidP="00121795">
      <w:pPr>
        <w:spacing w:after="0" w:line="240" w:lineRule="auto"/>
        <w:jc w:val="both"/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</w:pPr>
      <w:r w:rsidRPr="005577F4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>Results.</w:t>
      </w:r>
      <w:r w:rsidR="00C315D2" w:rsidRPr="005577F4">
        <w:rPr>
          <w:rFonts w:ascii="Arial" w:eastAsia="Calibri" w:hAnsi="Arial" w:cs="Arial"/>
          <w:kern w:val="0"/>
          <w:sz w:val="20"/>
          <w:szCs w:val="20"/>
          <w:lang w:val="en-GB"/>
          <w14:ligatures w14:val="none"/>
        </w:rPr>
        <w:t xml:space="preserve"> </w:t>
      </w:r>
      <w:r w:rsidR="00630B0C">
        <w:rPr>
          <w:rFonts w:ascii="Arial" w:eastAsia="Calibri" w:hAnsi="Arial" w:cs="Arial"/>
          <w:kern w:val="0"/>
          <w:sz w:val="20"/>
          <w:szCs w:val="20"/>
          <w:lang w:val="en-GB"/>
          <w14:ligatures w14:val="none"/>
        </w:rPr>
        <w:t xml:space="preserve">The developed HPTLC method </w:t>
      </w:r>
      <w:r w:rsidR="00086824">
        <w:rPr>
          <w:rFonts w:ascii="Arial" w:eastAsia="Calibri" w:hAnsi="Arial" w:cs="Arial"/>
          <w:kern w:val="0"/>
          <w:sz w:val="20"/>
          <w:szCs w:val="20"/>
          <w:lang w:val="en-GB"/>
          <w14:ligatures w14:val="none"/>
        </w:rPr>
        <w:t>separated</w:t>
      </w:r>
      <w:r w:rsidR="00630B0C">
        <w:rPr>
          <w:rFonts w:ascii="Arial" w:eastAsia="Calibri" w:hAnsi="Arial" w:cs="Arial"/>
          <w:kern w:val="0"/>
          <w:sz w:val="20"/>
          <w:szCs w:val="20"/>
          <w:lang w:val="en-GB"/>
          <w14:ligatures w14:val="none"/>
        </w:rPr>
        <w:t xml:space="preserve"> caffeine from its major metabolites </w:t>
      </w:r>
      <w:r w:rsidR="002227B6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(Figure 1) </w:t>
      </w:r>
      <w:r w:rsidR="00630B0C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with detection and quantification limit</w:t>
      </w:r>
      <w:r w:rsidR="002227B6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s</w:t>
      </w:r>
      <w:r w:rsidR="00630B0C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 of </w:t>
      </w:r>
      <w:r w:rsidR="00630B0C" w:rsidRPr="00EE4338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2.42</w:t>
      </w:r>
      <w:r w:rsidR="00630B0C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 and </w:t>
      </w:r>
      <w:r w:rsidR="00630B0C" w:rsidRPr="00EE4338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7.34</w:t>
      </w:r>
      <w:r w:rsidR="00630B0C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 ng/band </w:t>
      </w:r>
      <w:r w:rsidR="002227B6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respectively. Salivary </w:t>
      </w:r>
      <w:r w:rsidR="007439B1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caffeine level</w:t>
      </w:r>
      <w:r w:rsidR="002227B6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s</w:t>
      </w:r>
      <w:r w:rsidR="007439B1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 </w:t>
      </w:r>
      <w:r w:rsidR="00735B6E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peaked at 1</w:t>
      </w:r>
      <w:r w:rsidR="009D4481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 </w:t>
      </w:r>
      <w:r w:rsidR="00735B6E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h and then </w:t>
      </w:r>
      <w:r w:rsidR="007439B1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gradually decreas</w:t>
      </w:r>
      <w:r w:rsidR="000E6820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ed</w:t>
      </w:r>
      <w:r w:rsidR="00A02271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 (Figure 2). </w:t>
      </w:r>
      <w:r w:rsidR="003A2175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Based on</w:t>
      </w:r>
      <w:r w:rsidR="007A3FAC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 </w:t>
      </w:r>
      <w:r w:rsidR="000E6820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the developed </w:t>
      </w:r>
      <w:r w:rsidR="009D7A8B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P</w:t>
      </w:r>
      <w:r w:rsidR="007A3FAC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K</w:t>
      </w:r>
      <w:r w:rsidR="009D7A8B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 model</w:t>
      </w:r>
      <w:r w:rsidR="004A3B29" w:rsidRPr="004A3B29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, the AC and CC genotypes </w:t>
      </w:r>
      <w:r w:rsidR="00C20A29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demonstrated </w:t>
      </w:r>
      <w:r w:rsidR="004A3B29" w:rsidRPr="004A3B29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slower caffeine clearance than the AA genotype by factors of 0.68 and 0.70</w:t>
      </w:r>
      <w:r w:rsidR="003E5AF7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,</w:t>
      </w:r>
      <w:r w:rsidR="00DB4CB1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 but no</w:t>
      </w:r>
      <w:r w:rsidR="003B2BD7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 statistically significant</w:t>
      </w:r>
      <w:r w:rsidR="00DB4CB1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 difference </w:t>
      </w:r>
      <w:r w:rsidR="009D4481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in clearance </w:t>
      </w:r>
      <w:r w:rsidR="003B2BD7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was </w:t>
      </w:r>
      <w:r w:rsidR="00DB4CB1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detected between </w:t>
      </w:r>
      <w:r w:rsidR="00DB4CB1" w:rsidRPr="00DB4CB1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AC and CC</w:t>
      </w:r>
      <w:r w:rsidR="00DB4CB1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.</w:t>
      </w:r>
      <w:r w:rsidR="007C3A4E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 </w:t>
      </w:r>
    </w:p>
    <w:p w14:paraId="3DD8FCF5" w14:textId="77777777" w:rsidR="007C3A4E" w:rsidRDefault="007C3A4E" w:rsidP="00121795">
      <w:pPr>
        <w:spacing w:after="0" w:line="240" w:lineRule="auto"/>
        <w:jc w:val="both"/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</w:pPr>
    </w:p>
    <w:p w14:paraId="12EFD9BF" w14:textId="6AE3BD10" w:rsidR="00D27980" w:rsidRPr="005577F4" w:rsidRDefault="00C3702D" w:rsidP="00121795">
      <w:pPr>
        <w:spacing w:after="0" w:line="240" w:lineRule="auto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5577F4">
        <w:rPr>
          <w:rFonts w:ascii="Arial" w:eastAsia="Calibri" w:hAnsi="Arial" w:cs="Arial"/>
          <w:noProof/>
          <w:kern w:val="0"/>
          <w:sz w:val="20"/>
          <w:szCs w:val="20"/>
          <w14:ligatures w14:val="none"/>
        </w:rPr>
        <w:drawing>
          <wp:inline distT="0" distB="0" distL="0" distR="0" wp14:anchorId="5503E900" wp14:editId="6CFBCA63">
            <wp:extent cx="2519658" cy="2093595"/>
            <wp:effectExtent l="0" t="0" r="0" b="1905"/>
            <wp:docPr id="93871257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8395" cy="210916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121795" w:rsidRPr="005577F4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                </w:t>
      </w:r>
      <w:r w:rsidR="00121795" w:rsidRPr="005577F4">
        <w:rPr>
          <w:rFonts w:ascii="Arial" w:eastAsia="Calibri" w:hAnsi="Arial" w:cs="Arial"/>
          <w:noProof/>
          <w:kern w:val="0"/>
          <w:sz w:val="20"/>
          <w:szCs w:val="20"/>
          <w14:ligatures w14:val="none"/>
        </w:rPr>
        <w:drawing>
          <wp:inline distT="0" distB="0" distL="0" distR="0" wp14:anchorId="7530E750" wp14:editId="76CA6C05">
            <wp:extent cx="2433888" cy="2113445"/>
            <wp:effectExtent l="0" t="0" r="5080" b="1270"/>
            <wp:docPr id="72238235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9954" cy="213607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79062B8" w14:textId="0FE2651C" w:rsidR="00882590" w:rsidRPr="005577F4" w:rsidRDefault="001D1CA2" w:rsidP="00121795">
      <w:pPr>
        <w:spacing w:after="0" w:line="240" w:lineRule="auto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5577F4">
        <w:rPr>
          <w:rFonts w:ascii="Arial" w:hAnsi="Arial" w:cs="Arial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07AC2A" wp14:editId="0B4B6771">
                <wp:simplePos x="0" y="0"/>
                <wp:positionH relativeFrom="margin">
                  <wp:align>left</wp:align>
                </wp:positionH>
                <wp:positionV relativeFrom="paragraph">
                  <wp:posOffset>6305</wp:posOffset>
                </wp:positionV>
                <wp:extent cx="2819400" cy="565150"/>
                <wp:effectExtent l="0" t="0" r="0" b="6350"/>
                <wp:wrapNone/>
                <wp:docPr id="1514148150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9400" cy="565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EA35B20" w14:textId="6679307A" w:rsidR="001D1CA2" w:rsidRDefault="00882590" w:rsidP="00965CB7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82590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Figure 1.</w:t>
                            </w:r>
                            <w:r w:rsidRPr="0088259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HPTLC fingerprint </w:t>
                            </w:r>
                            <w:r w:rsidR="002F4F9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(</w:t>
                            </w:r>
                            <w:r w:rsidRPr="0088259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254 nm</w:t>
                            </w:r>
                            <w:r w:rsidR="002F4F9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):</w:t>
                            </w:r>
                            <w:r w:rsidR="00965CB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259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1</w:t>
                            </w:r>
                            <w:r w:rsidR="002F4F9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-</w:t>
                            </w:r>
                            <w:r w:rsidRPr="0088259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caffeine, 2</w:t>
                            </w:r>
                            <w:r w:rsidR="002F4F9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-</w:t>
                            </w:r>
                            <w:r w:rsidRPr="0088259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paraxanthine,</w:t>
                            </w:r>
                          </w:p>
                          <w:p w14:paraId="04B211BA" w14:textId="62C13159" w:rsidR="00882590" w:rsidRPr="00882590" w:rsidRDefault="00882590" w:rsidP="00965CB7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8259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3</w:t>
                            </w:r>
                            <w:r w:rsidR="002F4F9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-</w:t>
                            </w:r>
                            <w:r w:rsidRPr="0088259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theobromine, 4</w:t>
                            </w:r>
                            <w:r w:rsidR="002F4F9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-</w:t>
                            </w:r>
                            <w:r w:rsidRPr="0088259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theophylline, 5</w:t>
                            </w:r>
                            <w:r w:rsidR="002F4F9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-</w:t>
                            </w:r>
                            <w:r w:rsidRPr="0088259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mixture</w:t>
                            </w:r>
                          </w:p>
                          <w:p w14:paraId="7D915628" w14:textId="77777777" w:rsidR="00882590" w:rsidRDefault="0088259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07AC2A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0;margin-top:.5pt;width:222pt;height:44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" filled="f" stroked="f" strokeweight=".5pt">
                <v:textbox>
                  <w:txbxContent>
                    <w:p w14:paraId="6EA35B20" w14:textId="6679307A" w:rsidR="001D1CA2" w:rsidRDefault="00882590" w:rsidP="00965CB7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82590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Figure 1.</w:t>
                      </w:r>
                      <w:r w:rsidRPr="00882590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HPTLC fingerprint </w:t>
                      </w:r>
                      <w:r w:rsidR="002F4F9D">
                        <w:rPr>
                          <w:rFonts w:ascii="Arial" w:hAnsi="Arial" w:cs="Arial"/>
                          <w:sz w:val="20"/>
                          <w:szCs w:val="20"/>
                        </w:rPr>
                        <w:t>(</w:t>
                      </w:r>
                      <w:r w:rsidRPr="00882590">
                        <w:rPr>
                          <w:rFonts w:ascii="Arial" w:hAnsi="Arial" w:cs="Arial"/>
                          <w:sz w:val="20"/>
                          <w:szCs w:val="20"/>
                        </w:rPr>
                        <w:t>254 nm</w:t>
                      </w:r>
                      <w:r w:rsidR="002F4F9D">
                        <w:rPr>
                          <w:rFonts w:ascii="Arial" w:hAnsi="Arial" w:cs="Arial"/>
                          <w:sz w:val="20"/>
                          <w:szCs w:val="20"/>
                        </w:rPr>
                        <w:t>):</w:t>
                      </w:r>
                      <w:r w:rsidR="00965CB7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Pr="00882590">
                        <w:rPr>
                          <w:rFonts w:ascii="Arial" w:hAnsi="Arial" w:cs="Arial"/>
                          <w:sz w:val="20"/>
                          <w:szCs w:val="20"/>
                        </w:rPr>
                        <w:t>1</w:t>
                      </w:r>
                      <w:r w:rsidR="002F4F9D">
                        <w:rPr>
                          <w:rFonts w:ascii="Arial" w:hAnsi="Arial" w:cs="Arial"/>
                          <w:sz w:val="20"/>
                          <w:szCs w:val="20"/>
                        </w:rPr>
                        <w:t>-</w:t>
                      </w:r>
                      <w:r w:rsidRPr="00882590">
                        <w:rPr>
                          <w:rFonts w:ascii="Arial" w:hAnsi="Arial" w:cs="Arial"/>
                          <w:sz w:val="20"/>
                          <w:szCs w:val="20"/>
                        </w:rPr>
                        <w:t>caffeine, 2</w:t>
                      </w:r>
                      <w:r w:rsidR="002F4F9D">
                        <w:rPr>
                          <w:rFonts w:ascii="Arial" w:hAnsi="Arial" w:cs="Arial"/>
                          <w:sz w:val="20"/>
                          <w:szCs w:val="20"/>
                        </w:rPr>
                        <w:t>-</w:t>
                      </w:r>
                      <w:r w:rsidRPr="00882590">
                        <w:rPr>
                          <w:rFonts w:ascii="Arial" w:hAnsi="Arial" w:cs="Arial"/>
                          <w:sz w:val="20"/>
                          <w:szCs w:val="20"/>
                        </w:rPr>
                        <w:t>paraxanthine,</w:t>
                      </w:r>
                    </w:p>
                    <w:p w14:paraId="04B211BA" w14:textId="62C13159" w:rsidR="00882590" w:rsidRPr="00882590" w:rsidRDefault="00882590" w:rsidP="00965CB7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82590">
                        <w:rPr>
                          <w:rFonts w:ascii="Arial" w:hAnsi="Arial" w:cs="Arial"/>
                          <w:sz w:val="20"/>
                          <w:szCs w:val="20"/>
                        </w:rPr>
                        <w:t>3</w:t>
                      </w:r>
                      <w:r w:rsidR="002F4F9D">
                        <w:rPr>
                          <w:rFonts w:ascii="Arial" w:hAnsi="Arial" w:cs="Arial"/>
                          <w:sz w:val="20"/>
                          <w:szCs w:val="20"/>
                        </w:rPr>
                        <w:t>-</w:t>
                      </w:r>
                      <w:r w:rsidRPr="00882590">
                        <w:rPr>
                          <w:rFonts w:ascii="Arial" w:hAnsi="Arial" w:cs="Arial"/>
                          <w:sz w:val="20"/>
                          <w:szCs w:val="20"/>
                        </w:rPr>
                        <w:t>theobromine, 4</w:t>
                      </w:r>
                      <w:r w:rsidR="002F4F9D">
                        <w:rPr>
                          <w:rFonts w:ascii="Arial" w:hAnsi="Arial" w:cs="Arial"/>
                          <w:sz w:val="20"/>
                          <w:szCs w:val="20"/>
                        </w:rPr>
                        <w:t>-</w:t>
                      </w:r>
                      <w:r w:rsidRPr="00882590">
                        <w:rPr>
                          <w:rFonts w:ascii="Arial" w:hAnsi="Arial" w:cs="Arial"/>
                          <w:sz w:val="20"/>
                          <w:szCs w:val="20"/>
                        </w:rPr>
                        <w:t>theophylline, 5</w:t>
                      </w:r>
                      <w:r w:rsidR="002F4F9D">
                        <w:rPr>
                          <w:rFonts w:ascii="Arial" w:hAnsi="Arial" w:cs="Arial"/>
                          <w:sz w:val="20"/>
                          <w:szCs w:val="20"/>
                        </w:rPr>
                        <w:t>-</w:t>
                      </w:r>
                      <w:r w:rsidRPr="00882590">
                        <w:rPr>
                          <w:rFonts w:ascii="Arial" w:hAnsi="Arial" w:cs="Arial"/>
                          <w:sz w:val="20"/>
                          <w:szCs w:val="20"/>
                        </w:rPr>
                        <w:t>mixture</w:t>
                      </w:r>
                    </w:p>
                    <w:p w14:paraId="7D915628" w14:textId="77777777" w:rsidR="00882590" w:rsidRDefault="00882590"/>
                  </w:txbxContent>
                </v:textbox>
                <w10:wrap anchorx="margin"/>
              </v:shape>
            </w:pict>
          </mc:Fallback>
        </mc:AlternateContent>
      </w:r>
      <w:r w:rsidR="00F17C18" w:rsidRPr="005577F4">
        <w:rPr>
          <w:rFonts w:ascii="Arial" w:hAnsi="Arial" w:cs="Arial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B1F369" wp14:editId="361EF387">
                <wp:simplePos x="0" y="0"/>
                <wp:positionH relativeFrom="margin">
                  <wp:posOffset>3139803</wp:posOffset>
                </wp:positionH>
                <wp:positionV relativeFrom="paragraph">
                  <wp:posOffset>7620</wp:posOffset>
                </wp:positionV>
                <wp:extent cx="2790226" cy="428426"/>
                <wp:effectExtent l="0" t="0" r="0" b="0"/>
                <wp:wrapNone/>
                <wp:docPr id="2020004407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0226" cy="42842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2ED72DD" w14:textId="13E90C40" w:rsidR="00882590" w:rsidRPr="00F17C18" w:rsidRDefault="00882590" w:rsidP="00965CB7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82590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Figure </w:t>
                            </w:r>
                            <w:r w:rsidRPr="00F17C18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2</w:t>
                            </w:r>
                            <w:r w:rsidRPr="00882590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.</w:t>
                            </w:r>
                            <w:r w:rsidRPr="0088259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E5310" w:rsidRPr="00F17C1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Visual predictive checks for </w:t>
                            </w:r>
                            <w:r w:rsidR="002F4F9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salivary </w:t>
                            </w:r>
                            <w:r w:rsidR="006E5310" w:rsidRPr="00F17C1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caffeine concentrations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B1F369" id="_x0000_s1027" type="#_x0000_t202" style="position:absolute;left:0;text-align:left;margin-left:247.25pt;margin-top:.6pt;width:219.7pt;height:33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" filled="f" stroked="f" strokeweight=".5pt">
                <v:textbox>
                  <w:txbxContent>
                    <w:p w14:paraId="42ED72DD" w14:textId="13E90C40" w:rsidR="00882590" w:rsidRPr="00F17C18" w:rsidRDefault="00882590" w:rsidP="00965CB7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82590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Figure </w:t>
                      </w:r>
                      <w:r w:rsidRPr="00F17C18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2</w:t>
                      </w:r>
                      <w:r w:rsidRPr="00882590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.</w:t>
                      </w:r>
                      <w:r w:rsidRPr="00882590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6E5310" w:rsidRPr="00F17C1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Visual predictive checks for </w:t>
                      </w:r>
                      <w:r w:rsidR="002F4F9D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salivary </w:t>
                      </w:r>
                      <w:r w:rsidR="006E5310" w:rsidRPr="00F17C18">
                        <w:rPr>
                          <w:rFonts w:ascii="Arial" w:hAnsi="Arial" w:cs="Arial"/>
                          <w:sz w:val="20"/>
                          <w:szCs w:val="20"/>
                        </w:rPr>
                        <w:t>caffeine concentrations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EF7205B" w14:textId="1A0EDCB9" w:rsidR="00882590" w:rsidRPr="005577F4" w:rsidRDefault="00882590" w:rsidP="00121795">
      <w:pPr>
        <w:spacing w:after="0" w:line="240" w:lineRule="auto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14:paraId="5A05DA04" w14:textId="50DE162F" w:rsidR="00882590" w:rsidRPr="005577F4" w:rsidRDefault="00882590" w:rsidP="00121795">
      <w:pPr>
        <w:spacing w:after="0" w:line="240" w:lineRule="auto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14:paraId="14D91CF2" w14:textId="77777777" w:rsidR="00882590" w:rsidRPr="005577F4" w:rsidRDefault="00882590" w:rsidP="00121795">
      <w:pPr>
        <w:spacing w:after="0" w:line="240" w:lineRule="auto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14:paraId="3F0E0DF6" w14:textId="13AA4426" w:rsidR="009E56A1" w:rsidRPr="005577F4" w:rsidRDefault="00B8473A" w:rsidP="00C315D2">
      <w:pPr>
        <w:spacing w:after="0" w:line="240" w:lineRule="auto"/>
        <w:jc w:val="both"/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</w:pPr>
      <w:r w:rsidRPr="005577F4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Conclusion/</w:t>
      </w:r>
      <w:r w:rsidR="00C315D2" w:rsidRPr="005577F4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Discussion.</w:t>
      </w:r>
      <w:r w:rsidR="00C315D2" w:rsidRPr="005577F4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 </w:t>
      </w:r>
      <w:r w:rsidR="00257230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The findings of this study demonstrate the value of a HPTLC-based analysis of salivary caffeine which can be used to determine </w:t>
      </w:r>
      <w:r w:rsidR="00257230" w:rsidRPr="00D816C6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CYP1A2*1F </w:t>
      </w:r>
      <w:r w:rsidR="00257230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activity and therefore to support pharmacogenomic assessments.</w:t>
      </w:r>
      <w:r w:rsidR="00FC6384" w:rsidRPr="00FC6384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 </w:t>
      </w:r>
    </w:p>
    <w:p w14:paraId="7912C896" w14:textId="77777777" w:rsidR="004B5807" w:rsidRPr="005577F4" w:rsidRDefault="004B5807" w:rsidP="00C315D2">
      <w:pPr>
        <w:spacing w:after="0" w:line="240" w:lineRule="auto"/>
        <w:jc w:val="both"/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</w:pPr>
    </w:p>
    <w:p w14:paraId="2C801966" w14:textId="1CFA07E8" w:rsidR="00C315D2" w:rsidRPr="005577F4" w:rsidRDefault="00C315D2" w:rsidP="00C315D2">
      <w:pPr>
        <w:spacing w:after="0" w:line="240" w:lineRule="auto"/>
        <w:jc w:val="both"/>
        <w:rPr>
          <w:rFonts w:ascii="Arial" w:eastAsia="Calibri" w:hAnsi="Arial" w:cs="Arial"/>
          <w:bCs/>
          <w:kern w:val="0"/>
          <w:sz w:val="20"/>
          <w:szCs w:val="20"/>
          <w:lang w:val="en-US"/>
          <w14:ligatures w14:val="none"/>
        </w:rPr>
      </w:pPr>
      <w:r w:rsidRPr="005577F4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References:</w:t>
      </w:r>
      <w:r w:rsidRPr="005577F4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 </w:t>
      </w:r>
      <w:r w:rsidR="006A70DB" w:rsidRPr="005577F4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This research was conducted during the author receipt of an International Fee Scholarship and a University Postgraduate Award from the University of Western Australia</w:t>
      </w:r>
      <w:r w:rsidRPr="005577F4">
        <w:rPr>
          <w:rFonts w:ascii="Arial" w:eastAsia="Calibri" w:hAnsi="Arial" w:cs="Arial"/>
          <w:bCs/>
          <w:kern w:val="0"/>
          <w:sz w:val="20"/>
          <w:szCs w:val="20"/>
          <w:lang w:val="en-US"/>
          <w14:ligatures w14:val="none"/>
        </w:rPr>
        <w:t xml:space="preserve">. </w:t>
      </w:r>
    </w:p>
    <w:p w14:paraId="0944273F" w14:textId="5B96EA7E" w:rsidR="001A566E" w:rsidRPr="005577F4" w:rsidRDefault="001A566E" w:rsidP="001A566E">
      <w:pPr>
        <w:spacing w:after="0" w:line="240" w:lineRule="auto"/>
        <w:jc w:val="both"/>
        <w:rPr>
          <w:rFonts w:ascii="Arial" w:eastAsia="Calibri" w:hAnsi="Arial" w:cs="Arial"/>
          <w:bCs/>
          <w:kern w:val="0"/>
          <w:sz w:val="20"/>
          <w:szCs w:val="20"/>
          <w:lang w:val="en-US"/>
          <w14:ligatures w14:val="none"/>
        </w:rPr>
      </w:pPr>
      <w:r w:rsidRPr="005577F4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(1) Fenske, M. (2007)</w:t>
      </w:r>
      <w:r w:rsidR="00C315D2" w:rsidRPr="005577F4">
        <w:rPr>
          <w:rFonts w:ascii="Arial" w:eastAsia="Calibri" w:hAnsi="Arial" w:cs="Arial"/>
          <w:bCs/>
          <w:kern w:val="0"/>
          <w:sz w:val="20"/>
          <w:szCs w:val="20"/>
          <w:lang w:val="en-US"/>
          <w14:ligatures w14:val="none"/>
        </w:rPr>
        <w:t xml:space="preserve"> </w:t>
      </w:r>
      <w:r w:rsidR="00AC31AC" w:rsidRPr="005577F4">
        <w:rPr>
          <w:rFonts w:ascii="Arial" w:eastAsia="Calibri" w:hAnsi="Arial" w:cs="Arial"/>
          <w:bCs/>
          <w:kern w:val="0"/>
          <w:sz w:val="20"/>
          <w:szCs w:val="20"/>
          <w:lang w:val="en-US"/>
          <w14:ligatures w14:val="none"/>
        </w:rPr>
        <w:t>Chromatographia 65: 233-238</w:t>
      </w:r>
    </w:p>
    <w:p w14:paraId="52550F76" w14:textId="6FBF8EB3" w:rsidR="00CC0DCD" w:rsidRPr="005577F4" w:rsidRDefault="00AC31AC" w:rsidP="00C315D2">
      <w:pPr>
        <w:spacing w:after="0" w:line="240" w:lineRule="auto"/>
        <w:jc w:val="both"/>
        <w:rPr>
          <w:rFonts w:ascii="Arial" w:eastAsia="Calibri" w:hAnsi="Arial" w:cs="Arial"/>
          <w:bCs/>
          <w:kern w:val="0"/>
          <w:sz w:val="20"/>
          <w:szCs w:val="20"/>
          <w:lang w:val="en-US"/>
          <w14:ligatures w14:val="none"/>
        </w:rPr>
      </w:pPr>
      <w:r w:rsidRPr="005577F4">
        <w:rPr>
          <w:rFonts w:ascii="Arial" w:hAnsi="Arial" w:cs="Arial"/>
          <w:sz w:val="20"/>
          <w:szCs w:val="20"/>
        </w:rPr>
        <w:t xml:space="preserve">(2) </w:t>
      </w:r>
      <w:r w:rsidR="008304FF" w:rsidRPr="005577F4">
        <w:rPr>
          <w:rFonts w:ascii="Arial" w:hAnsi="Arial" w:cs="Arial"/>
          <w:sz w:val="20"/>
          <w:szCs w:val="20"/>
        </w:rPr>
        <w:t>Oellig, C.</w:t>
      </w:r>
      <w:r w:rsidR="002138F7" w:rsidRPr="005577F4">
        <w:rPr>
          <w:rFonts w:ascii="Arial" w:hAnsi="Arial" w:cs="Arial"/>
          <w:sz w:val="20"/>
          <w:szCs w:val="20"/>
        </w:rPr>
        <w:t xml:space="preserve"> et al (</w:t>
      </w:r>
      <w:r w:rsidR="00E105C4" w:rsidRPr="005577F4">
        <w:rPr>
          <w:rFonts w:ascii="Arial" w:hAnsi="Arial" w:cs="Arial"/>
          <w:sz w:val="20"/>
          <w:szCs w:val="20"/>
        </w:rPr>
        <w:t>2018</w:t>
      </w:r>
      <w:r w:rsidR="002138F7" w:rsidRPr="005577F4">
        <w:rPr>
          <w:rFonts w:ascii="Arial" w:hAnsi="Arial" w:cs="Arial"/>
          <w:sz w:val="20"/>
          <w:szCs w:val="20"/>
        </w:rPr>
        <w:t xml:space="preserve">) </w:t>
      </w:r>
      <w:r w:rsidR="00E105C4" w:rsidRPr="005577F4">
        <w:rPr>
          <w:rFonts w:ascii="Arial" w:hAnsi="Arial" w:cs="Arial"/>
          <w:sz w:val="20"/>
          <w:szCs w:val="20"/>
        </w:rPr>
        <w:t>Journal of Chromatography A</w:t>
      </w:r>
      <w:r w:rsidR="00C143FB" w:rsidRPr="005577F4">
        <w:rPr>
          <w:rFonts w:ascii="Arial" w:hAnsi="Arial" w:cs="Arial"/>
          <w:sz w:val="20"/>
          <w:szCs w:val="20"/>
        </w:rPr>
        <w:t xml:space="preserve"> </w:t>
      </w:r>
      <w:r w:rsidR="00AF753F" w:rsidRPr="005577F4">
        <w:rPr>
          <w:rFonts w:ascii="Arial" w:hAnsi="Arial" w:cs="Arial"/>
          <w:bCs/>
          <w:sz w:val="20"/>
          <w:szCs w:val="20"/>
        </w:rPr>
        <w:t>1533: 208-212</w:t>
      </w:r>
    </w:p>
    <w:p w14:paraId="1A739D21" w14:textId="646345CD" w:rsidR="00D931D5" w:rsidRPr="005577F4" w:rsidRDefault="002138F7" w:rsidP="00C93E6C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5577F4">
        <w:rPr>
          <w:rFonts w:ascii="Arial" w:eastAsia="Calibri" w:hAnsi="Arial" w:cs="Arial"/>
          <w:bCs/>
          <w:kern w:val="0"/>
          <w:sz w:val="20"/>
          <w:szCs w:val="20"/>
          <w:lang w:val="en-US"/>
          <w14:ligatures w14:val="none"/>
        </w:rPr>
        <w:t>(</w:t>
      </w:r>
      <w:r w:rsidR="00AC31AC" w:rsidRPr="005577F4">
        <w:rPr>
          <w:rFonts w:ascii="Arial" w:eastAsia="Calibri" w:hAnsi="Arial" w:cs="Arial"/>
          <w:bCs/>
          <w:kern w:val="0"/>
          <w:sz w:val="20"/>
          <w:szCs w:val="20"/>
          <w:lang w:val="en-US"/>
          <w14:ligatures w14:val="none"/>
        </w:rPr>
        <w:t>3</w:t>
      </w:r>
      <w:r w:rsidRPr="005577F4">
        <w:rPr>
          <w:rFonts w:ascii="Arial" w:eastAsia="Calibri" w:hAnsi="Arial" w:cs="Arial"/>
          <w:bCs/>
          <w:kern w:val="0"/>
          <w:sz w:val="20"/>
          <w:szCs w:val="20"/>
          <w:lang w:val="en-US"/>
          <w14:ligatures w14:val="none"/>
        </w:rPr>
        <w:t xml:space="preserve">) </w:t>
      </w:r>
      <w:r w:rsidR="002A6185" w:rsidRPr="005577F4">
        <w:rPr>
          <w:rFonts w:ascii="Arial" w:hAnsi="Arial" w:cs="Arial"/>
          <w:sz w:val="20"/>
          <w:szCs w:val="20"/>
        </w:rPr>
        <w:t>Sachse, C.</w:t>
      </w:r>
      <w:r w:rsidR="001D47C2" w:rsidRPr="005577F4">
        <w:rPr>
          <w:rFonts w:ascii="Arial" w:hAnsi="Arial" w:cs="Arial"/>
          <w:sz w:val="20"/>
          <w:szCs w:val="20"/>
        </w:rPr>
        <w:t xml:space="preserve"> et al (</w:t>
      </w:r>
      <w:r w:rsidR="002A6185" w:rsidRPr="005577F4">
        <w:rPr>
          <w:rFonts w:ascii="Arial" w:hAnsi="Arial" w:cs="Arial"/>
          <w:sz w:val="20"/>
          <w:szCs w:val="20"/>
        </w:rPr>
        <w:t>1999</w:t>
      </w:r>
      <w:r w:rsidR="00904BB7" w:rsidRPr="005577F4">
        <w:rPr>
          <w:rFonts w:ascii="Arial" w:hAnsi="Arial" w:cs="Arial"/>
          <w:sz w:val="20"/>
          <w:szCs w:val="20"/>
        </w:rPr>
        <w:t xml:space="preserve">) </w:t>
      </w:r>
      <w:r w:rsidR="00B51903" w:rsidRPr="005577F4">
        <w:rPr>
          <w:rFonts w:ascii="Arial" w:hAnsi="Arial" w:cs="Arial"/>
          <w:sz w:val="20"/>
          <w:szCs w:val="20"/>
        </w:rPr>
        <w:t>British journal of clinical pharmacology</w:t>
      </w:r>
      <w:r w:rsidR="00904BB7" w:rsidRPr="005577F4">
        <w:rPr>
          <w:rFonts w:ascii="Arial" w:hAnsi="Arial" w:cs="Arial"/>
          <w:sz w:val="20"/>
          <w:szCs w:val="20"/>
        </w:rPr>
        <w:t xml:space="preserve"> </w:t>
      </w:r>
      <w:r w:rsidR="00337788" w:rsidRPr="005577F4">
        <w:rPr>
          <w:rFonts w:ascii="Arial" w:hAnsi="Arial" w:cs="Arial"/>
          <w:bCs/>
          <w:sz w:val="20"/>
          <w:szCs w:val="20"/>
        </w:rPr>
        <w:t>47:</w:t>
      </w:r>
      <w:r w:rsidR="00337788" w:rsidRPr="005577F4">
        <w:rPr>
          <w:rFonts w:ascii="Arial" w:hAnsi="Arial" w:cs="Arial"/>
          <w:bCs/>
          <w:i/>
          <w:iCs/>
          <w:sz w:val="20"/>
          <w:szCs w:val="20"/>
        </w:rPr>
        <w:t xml:space="preserve"> </w:t>
      </w:r>
      <w:r w:rsidR="00337788" w:rsidRPr="005577F4">
        <w:rPr>
          <w:rFonts w:ascii="Arial" w:hAnsi="Arial" w:cs="Arial"/>
          <w:bCs/>
          <w:sz w:val="20"/>
          <w:szCs w:val="20"/>
        </w:rPr>
        <w:t>445-449</w:t>
      </w:r>
    </w:p>
    <w:sectPr w:rsidR="00D931D5" w:rsidRPr="005577F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07E7E"/>
    <w:multiLevelType w:val="hybridMultilevel"/>
    <w:tmpl w:val="D0E21CFA"/>
    <w:lvl w:ilvl="0" w:tplc="84F8902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9F3084"/>
    <w:multiLevelType w:val="hybridMultilevel"/>
    <w:tmpl w:val="A23698DA"/>
    <w:lvl w:ilvl="0" w:tplc="84F8902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064DBD"/>
    <w:multiLevelType w:val="hybridMultilevel"/>
    <w:tmpl w:val="406CC40E"/>
    <w:lvl w:ilvl="0" w:tplc="84F8902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795CCE"/>
    <w:multiLevelType w:val="hybridMultilevel"/>
    <w:tmpl w:val="06A68968"/>
    <w:lvl w:ilvl="0" w:tplc="54F4831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9885325">
    <w:abstractNumId w:val="3"/>
  </w:num>
  <w:num w:numId="2" w16cid:durableId="154731194">
    <w:abstractNumId w:val="0"/>
  </w:num>
  <w:num w:numId="3" w16cid:durableId="1712732585">
    <w:abstractNumId w:val="1"/>
  </w:num>
  <w:num w:numId="4" w16cid:durableId="17626834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5D2"/>
    <w:rsid w:val="000034F4"/>
    <w:rsid w:val="00016648"/>
    <w:rsid w:val="000275A8"/>
    <w:rsid w:val="00037BAD"/>
    <w:rsid w:val="00046C70"/>
    <w:rsid w:val="00047743"/>
    <w:rsid w:val="0005606C"/>
    <w:rsid w:val="0005616F"/>
    <w:rsid w:val="00067C6C"/>
    <w:rsid w:val="00074158"/>
    <w:rsid w:val="00086824"/>
    <w:rsid w:val="000973B3"/>
    <w:rsid w:val="000D4F61"/>
    <w:rsid w:val="000E6820"/>
    <w:rsid w:val="00105148"/>
    <w:rsid w:val="00107368"/>
    <w:rsid w:val="00111F90"/>
    <w:rsid w:val="00113BB7"/>
    <w:rsid w:val="00120A4A"/>
    <w:rsid w:val="00121795"/>
    <w:rsid w:val="00127D53"/>
    <w:rsid w:val="00131816"/>
    <w:rsid w:val="0013781E"/>
    <w:rsid w:val="0014449F"/>
    <w:rsid w:val="0015303C"/>
    <w:rsid w:val="00153379"/>
    <w:rsid w:val="00155E04"/>
    <w:rsid w:val="00162EA8"/>
    <w:rsid w:val="001704AE"/>
    <w:rsid w:val="001826EE"/>
    <w:rsid w:val="00186439"/>
    <w:rsid w:val="0019651D"/>
    <w:rsid w:val="001969A3"/>
    <w:rsid w:val="001A566E"/>
    <w:rsid w:val="001B04AB"/>
    <w:rsid w:val="001B7632"/>
    <w:rsid w:val="001D0F97"/>
    <w:rsid w:val="001D1CA2"/>
    <w:rsid w:val="001D47C2"/>
    <w:rsid w:val="001E2B5C"/>
    <w:rsid w:val="001E4B83"/>
    <w:rsid w:val="00200C21"/>
    <w:rsid w:val="002017E6"/>
    <w:rsid w:val="0020201E"/>
    <w:rsid w:val="002114E3"/>
    <w:rsid w:val="00212400"/>
    <w:rsid w:val="002138F7"/>
    <w:rsid w:val="00221282"/>
    <w:rsid w:val="002216C6"/>
    <w:rsid w:val="002227B6"/>
    <w:rsid w:val="00256A57"/>
    <w:rsid w:val="00257230"/>
    <w:rsid w:val="00276559"/>
    <w:rsid w:val="00277B7F"/>
    <w:rsid w:val="00287D9A"/>
    <w:rsid w:val="00294059"/>
    <w:rsid w:val="00296AA3"/>
    <w:rsid w:val="002A6185"/>
    <w:rsid w:val="002C4255"/>
    <w:rsid w:val="002C7E07"/>
    <w:rsid w:val="002D2991"/>
    <w:rsid w:val="002F0DF9"/>
    <w:rsid w:val="002F4F9D"/>
    <w:rsid w:val="00302C74"/>
    <w:rsid w:val="0030757C"/>
    <w:rsid w:val="0031093D"/>
    <w:rsid w:val="00310F69"/>
    <w:rsid w:val="00315527"/>
    <w:rsid w:val="003206E4"/>
    <w:rsid w:val="003213BE"/>
    <w:rsid w:val="00326103"/>
    <w:rsid w:val="00337788"/>
    <w:rsid w:val="003522DB"/>
    <w:rsid w:val="00361E6F"/>
    <w:rsid w:val="00376BB7"/>
    <w:rsid w:val="00386116"/>
    <w:rsid w:val="00395D33"/>
    <w:rsid w:val="003A06EB"/>
    <w:rsid w:val="003A2175"/>
    <w:rsid w:val="003A365D"/>
    <w:rsid w:val="003A6D5C"/>
    <w:rsid w:val="003B0DE6"/>
    <w:rsid w:val="003B2BD7"/>
    <w:rsid w:val="003B6EDD"/>
    <w:rsid w:val="003C4595"/>
    <w:rsid w:val="003C5F90"/>
    <w:rsid w:val="003C77FE"/>
    <w:rsid w:val="003E29DD"/>
    <w:rsid w:val="003E29E9"/>
    <w:rsid w:val="003E5AF7"/>
    <w:rsid w:val="00445B5A"/>
    <w:rsid w:val="00450456"/>
    <w:rsid w:val="004727B3"/>
    <w:rsid w:val="00484350"/>
    <w:rsid w:val="004878C1"/>
    <w:rsid w:val="00491D25"/>
    <w:rsid w:val="004929B9"/>
    <w:rsid w:val="0049548B"/>
    <w:rsid w:val="00496A80"/>
    <w:rsid w:val="004A2509"/>
    <w:rsid w:val="004A3B29"/>
    <w:rsid w:val="004A419D"/>
    <w:rsid w:val="004A51B6"/>
    <w:rsid w:val="004B2B17"/>
    <w:rsid w:val="004B5807"/>
    <w:rsid w:val="004C0374"/>
    <w:rsid w:val="004E3DD7"/>
    <w:rsid w:val="004E5776"/>
    <w:rsid w:val="00510CF8"/>
    <w:rsid w:val="00536E9A"/>
    <w:rsid w:val="00545689"/>
    <w:rsid w:val="005456C1"/>
    <w:rsid w:val="00554134"/>
    <w:rsid w:val="00554CE2"/>
    <w:rsid w:val="005577F4"/>
    <w:rsid w:val="00571744"/>
    <w:rsid w:val="00575A29"/>
    <w:rsid w:val="00585DD8"/>
    <w:rsid w:val="005975C2"/>
    <w:rsid w:val="005B66AC"/>
    <w:rsid w:val="005D2328"/>
    <w:rsid w:val="005D2485"/>
    <w:rsid w:val="005D30D6"/>
    <w:rsid w:val="005E0CC5"/>
    <w:rsid w:val="005E689F"/>
    <w:rsid w:val="00600FE2"/>
    <w:rsid w:val="00601754"/>
    <w:rsid w:val="00615696"/>
    <w:rsid w:val="006232F4"/>
    <w:rsid w:val="00630B0C"/>
    <w:rsid w:val="0064529F"/>
    <w:rsid w:val="00660AEE"/>
    <w:rsid w:val="00661F11"/>
    <w:rsid w:val="00664E58"/>
    <w:rsid w:val="00692486"/>
    <w:rsid w:val="006A34BE"/>
    <w:rsid w:val="006A70DB"/>
    <w:rsid w:val="006B1200"/>
    <w:rsid w:val="006B2596"/>
    <w:rsid w:val="006C0F60"/>
    <w:rsid w:val="006E1579"/>
    <w:rsid w:val="006E5310"/>
    <w:rsid w:val="006F0385"/>
    <w:rsid w:val="006F3F1C"/>
    <w:rsid w:val="007024C9"/>
    <w:rsid w:val="00710FE3"/>
    <w:rsid w:val="007141F2"/>
    <w:rsid w:val="00723AE5"/>
    <w:rsid w:val="00735B6E"/>
    <w:rsid w:val="007360F0"/>
    <w:rsid w:val="007439B1"/>
    <w:rsid w:val="007561D8"/>
    <w:rsid w:val="00776208"/>
    <w:rsid w:val="007853EF"/>
    <w:rsid w:val="0078778B"/>
    <w:rsid w:val="00792B82"/>
    <w:rsid w:val="00795378"/>
    <w:rsid w:val="00796206"/>
    <w:rsid w:val="007A3FAC"/>
    <w:rsid w:val="007A3FB0"/>
    <w:rsid w:val="007B2A72"/>
    <w:rsid w:val="007C367E"/>
    <w:rsid w:val="007C3A4E"/>
    <w:rsid w:val="007D17E2"/>
    <w:rsid w:val="007D596E"/>
    <w:rsid w:val="007F44F8"/>
    <w:rsid w:val="008071C5"/>
    <w:rsid w:val="008118BB"/>
    <w:rsid w:val="0082052F"/>
    <w:rsid w:val="008205D8"/>
    <w:rsid w:val="00825FD5"/>
    <w:rsid w:val="008304FF"/>
    <w:rsid w:val="00832753"/>
    <w:rsid w:val="008334F1"/>
    <w:rsid w:val="00865E3F"/>
    <w:rsid w:val="008743C1"/>
    <w:rsid w:val="0087741C"/>
    <w:rsid w:val="00882590"/>
    <w:rsid w:val="008841D2"/>
    <w:rsid w:val="00895039"/>
    <w:rsid w:val="008A42BC"/>
    <w:rsid w:val="008B2E17"/>
    <w:rsid w:val="008C797D"/>
    <w:rsid w:val="008D76C8"/>
    <w:rsid w:val="008E6656"/>
    <w:rsid w:val="008F0327"/>
    <w:rsid w:val="008F5304"/>
    <w:rsid w:val="00904BB7"/>
    <w:rsid w:val="00906D34"/>
    <w:rsid w:val="009165C6"/>
    <w:rsid w:val="0093017D"/>
    <w:rsid w:val="00933DC9"/>
    <w:rsid w:val="00936D4C"/>
    <w:rsid w:val="00944A24"/>
    <w:rsid w:val="009523F9"/>
    <w:rsid w:val="009578CA"/>
    <w:rsid w:val="0096278E"/>
    <w:rsid w:val="009650DF"/>
    <w:rsid w:val="00965CB7"/>
    <w:rsid w:val="0097643B"/>
    <w:rsid w:val="00976532"/>
    <w:rsid w:val="00982098"/>
    <w:rsid w:val="009872D7"/>
    <w:rsid w:val="009B1CBB"/>
    <w:rsid w:val="009D4481"/>
    <w:rsid w:val="009D7A8B"/>
    <w:rsid w:val="009E0591"/>
    <w:rsid w:val="009E56A1"/>
    <w:rsid w:val="009F263B"/>
    <w:rsid w:val="00A01D1B"/>
    <w:rsid w:val="00A02271"/>
    <w:rsid w:val="00A0516D"/>
    <w:rsid w:val="00A1422F"/>
    <w:rsid w:val="00A33F90"/>
    <w:rsid w:val="00A47F5B"/>
    <w:rsid w:val="00A642FE"/>
    <w:rsid w:val="00A73BAB"/>
    <w:rsid w:val="00A8493C"/>
    <w:rsid w:val="00A8647A"/>
    <w:rsid w:val="00A874CB"/>
    <w:rsid w:val="00A974FE"/>
    <w:rsid w:val="00AC31AC"/>
    <w:rsid w:val="00AD52FC"/>
    <w:rsid w:val="00AF2434"/>
    <w:rsid w:val="00AF5F88"/>
    <w:rsid w:val="00AF753F"/>
    <w:rsid w:val="00B04241"/>
    <w:rsid w:val="00B132E3"/>
    <w:rsid w:val="00B20333"/>
    <w:rsid w:val="00B24FA0"/>
    <w:rsid w:val="00B3436F"/>
    <w:rsid w:val="00B4721D"/>
    <w:rsid w:val="00B4772B"/>
    <w:rsid w:val="00B51903"/>
    <w:rsid w:val="00B76184"/>
    <w:rsid w:val="00B81707"/>
    <w:rsid w:val="00B83A43"/>
    <w:rsid w:val="00B8473A"/>
    <w:rsid w:val="00B9021D"/>
    <w:rsid w:val="00BA10C6"/>
    <w:rsid w:val="00BB362C"/>
    <w:rsid w:val="00BB5B51"/>
    <w:rsid w:val="00BE3638"/>
    <w:rsid w:val="00BE47F0"/>
    <w:rsid w:val="00BF3642"/>
    <w:rsid w:val="00BF4378"/>
    <w:rsid w:val="00C02AFB"/>
    <w:rsid w:val="00C05531"/>
    <w:rsid w:val="00C108FF"/>
    <w:rsid w:val="00C143FB"/>
    <w:rsid w:val="00C20A29"/>
    <w:rsid w:val="00C21815"/>
    <w:rsid w:val="00C23CD7"/>
    <w:rsid w:val="00C271BF"/>
    <w:rsid w:val="00C30293"/>
    <w:rsid w:val="00C315D2"/>
    <w:rsid w:val="00C3454C"/>
    <w:rsid w:val="00C353D8"/>
    <w:rsid w:val="00C3702D"/>
    <w:rsid w:val="00C47A69"/>
    <w:rsid w:val="00C47E41"/>
    <w:rsid w:val="00C62EA2"/>
    <w:rsid w:val="00C63DD2"/>
    <w:rsid w:val="00C84B9A"/>
    <w:rsid w:val="00C93E6C"/>
    <w:rsid w:val="00CC0DCD"/>
    <w:rsid w:val="00CC6CFC"/>
    <w:rsid w:val="00CD0ED0"/>
    <w:rsid w:val="00CD583A"/>
    <w:rsid w:val="00CD5EED"/>
    <w:rsid w:val="00CF1488"/>
    <w:rsid w:val="00CF2712"/>
    <w:rsid w:val="00CF5A91"/>
    <w:rsid w:val="00D02BB1"/>
    <w:rsid w:val="00D02C25"/>
    <w:rsid w:val="00D0468E"/>
    <w:rsid w:val="00D20B20"/>
    <w:rsid w:val="00D22BA8"/>
    <w:rsid w:val="00D27980"/>
    <w:rsid w:val="00D45A74"/>
    <w:rsid w:val="00D51677"/>
    <w:rsid w:val="00D57475"/>
    <w:rsid w:val="00D71DCB"/>
    <w:rsid w:val="00D7428F"/>
    <w:rsid w:val="00D816C6"/>
    <w:rsid w:val="00D931D5"/>
    <w:rsid w:val="00DA766D"/>
    <w:rsid w:val="00DB2A69"/>
    <w:rsid w:val="00DB4C70"/>
    <w:rsid w:val="00DB4CB1"/>
    <w:rsid w:val="00DB656F"/>
    <w:rsid w:val="00DC7D7B"/>
    <w:rsid w:val="00DE2F87"/>
    <w:rsid w:val="00DF2A9F"/>
    <w:rsid w:val="00E105C4"/>
    <w:rsid w:val="00E15540"/>
    <w:rsid w:val="00E277F5"/>
    <w:rsid w:val="00E308DD"/>
    <w:rsid w:val="00E42970"/>
    <w:rsid w:val="00E43EC7"/>
    <w:rsid w:val="00E635D2"/>
    <w:rsid w:val="00E656E2"/>
    <w:rsid w:val="00E858B8"/>
    <w:rsid w:val="00E93492"/>
    <w:rsid w:val="00E95B3D"/>
    <w:rsid w:val="00EB2CDE"/>
    <w:rsid w:val="00EC3746"/>
    <w:rsid w:val="00EE26E0"/>
    <w:rsid w:val="00EE4338"/>
    <w:rsid w:val="00EE5F2B"/>
    <w:rsid w:val="00EE72AB"/>
    <w:rsid w:val="00F01A32"/>
    <w:rsid w:val="00F17C18"/>
    <w:rsid w:val="00F32AEF"/>
    <w:rsid w:val="00F36584"/>
    <w:rsid w:val="00F539FB"/>
    <w:rsid w:val="00F73CCF"/>
    <w:rsid w:val="00F81674"/>
    <w:rsid w:val="00F838D2"/>
    <w:rsid w:val="00F84531"/>
    <w:rsid w:val="00F85528"/>
    <w:rsid w:val="00F9517E"/>
    <w:rsid w:val="00FA5387"/>
    <w:rsid w:val="00FA6493"/>
    <w:rsid w:val="00FC6384"/>
    <w:rsid w:val="00FD6D4B"/>
    <w:rsid w:val="00FE3F0B"/>
    <w:rsid w:val="00FF17AA"/>
    <w:rsid w:val="00FF4EBD"/>
    <w:rsid w:val="2021B9E9"/>
    <w:rsid w:val="4FE71DF4"/>
    <w:rsid w:val="5E2C5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9E18DD"/>
  <w15:chartTrackingRefBased/>
  <w15:docId w15:val="{68CD8C6C-48B5-45FC-AC27-B37918D87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315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15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15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15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15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15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15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15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15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15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15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15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15D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15D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15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15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15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15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15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15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15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15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15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15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15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15D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15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15D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15D2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3A365D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B04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B04A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B04A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04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04A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84e3ec-4587-4418-b23a-bd5009477010">
      <Terms xmlns="http://schemas.microsoft.com/office/infopath/2007/PartnerControls"/>
    </lcf76f155ced4ddcb4097134ff3c332f>
    <TaxCatchAll xmlns="79faf93c-7b46-4b26-8966-6d698e8b406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C054142C5B5D4B8C99E9FB10779CAB" ma:contentTypeVersion="18" ma:contentTypeDescription="Create a new document." ma:contentTypeScope="" ma:versionID="82fa6b8bbe5aa1e5a147898ce11eee45">
  <xsd:schema xmlns:xsd="http://www.w3.org/2001/XMLSchema" xmlns:xs="http://www.w3.org/2001/XMLSchema" xmlns:p="http://schemas.microsoft.com/office/2006/metadata/properties" xmlns:ns2="4a84e3ec-4587-4418-b23a-bd5009477010" xmlns:ns3="79faf93c-7b46-4b26-8966-6d698e8b4062" targetNamespace="http://schemas.microsoft.com/office/2006/metadata/properties" ma:root="true" ma:fieldsID="4aa8403be6c3a7d49ea4b008b126b62c" ns2:_="" ns3:_="">
    <xsd:import namespace="4a84e3ec-4587-4418-b23a-bd5009477010"/>
    <xsd:import namespace="79faf93c-7b46-4b26-8966-6d698e8b40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84e3ec-4587-4418-b23a-bd50094770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2d0f5a8-1cae-497c-8626-323dd4f94b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af93c-7b46-4b26-8966-6d698e8b406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2c48bb7-3aca-46f5-8d8e-a282f3998c12}" ma:internalName="TaxCatchAll" ma:showField="CatchAllData" ma:web="79faf93c-7b46-4b26-8966-6d698e8b40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30FB8FF-F624-4CD8-B1B7-331FFFAAAFAC}">
  <ds:schemaRefs>
    <ds:schemaRef ds:uri="http://schemas.microsoft.com/office/2006/metadata/properties"/>
    <ds:schemaRef ds:uri="http://schemas.microsoft.com/office/infopath/2007/PartnerControls"/>
    <ds:schemaRef ds:uri="4a84e3ec-4587-4418-b23a-bd5009477010"/>
    <ds:schemaRef ds:uri="79faf93c-7b46-4b26-8966-6d698e8b4062"/>
  </ds:schemaRefs>
</ds:datastoreItem>
</file>

<file path=customXml/itemProps2.xml><?xml version="1.0" encoding="utf-8"?>
<ds:datastoreItem xmlns:ds="http://schemas.openxmlformats.org/officeDocument/2006/customXml" ds:itemID="{31DDCDBB-A434-4396-8F0D-5A6A543FC4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DFA7FD-66AA-4DA1-BE6D-DCF892D72F6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C4A3A71-59EB-4D37-B60C-752E21A3F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84e3ec-4587-4418-b23a-bd5009477010"/>
    <ds:schemaRef ds:uri="79faf93c-7b46-4b26-8966-6d698e8b40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436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Thanh Phan</dc:creator>
  <cp:keywords/>
  <dc:description/>
  <cp:lastModifiedBy>K M Yasif Kayes Sikdar</cp:lastModifiedBy>
  <cp:revision>8</cp:revision>
  <dcterms:created xsi:type="dcterms:W3CDTF">2025-05-29T05:24:00Z</dcterms:created>
  <dcterms:modified xsi:type="dcterms:W3CDTF">2025-05-29T18:26:00Z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0x01010004C054142C5B5D4B8C99E9FB10779CAB</vt:lpwstr>
  </property>
  <property fmtid="{D5CDD505-2E9C-101B-9397-08002B2CF9AE}" pid="3" name="MediaServiceImageTags">
    <vt:lpwstr/>
  </property>
</Properties>
</file>