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B0689" w:rsidRDefault="007B0689" w:rsidP="007B0689">
      <w:pPr>
        <w:jc w:val="both"/>
        <w:rPr>
          <w:rFonts w:ascii="Calibri" w:hAnsi="Calibri" w:cs="Calibri"/>
          <w:b/>
          <w:sz w:val="20"/>
          <w:szCs w:val="20"/>
        </w:rPr>
      </w:pPr>
      <w:r w:rsidRPr="00D234E7">
        <w:rPr>
          <w:rFonts w:ascii="Calibri" w:hAnsi="Calibri" w:cs="Calibri"/>
          <w:b/>
          <w:sz w:val="20"/>
          <w:szCs w:val="20"/>
        </w:rPr>
        <w:t>Rationality of Antimicrobial Prescr</w:t>
      </w:r>
      <w:r>
        <w:rPr>
          <w:rFonts w:ascii="Calibri" w:hAnsi="Calibri" w:cs="Calibri"/>
          <w:b/>
          <w:sz w:val="20"/>
          <w:szCs w:val="20"/>
        </w:rPr>
        <w:t>iptions</w:t>
      </w:r>
      <w:r w:rsidRPr="00D234E7">
        <w:rPr>
          <w:rFonts w:ascii="Calibri" w:hAnsi="Calibri" w:cs="Calibri"/>
          <w:b/>
          <w:sz w:val="20"/>
          <w:szCs w:val="20"/>
        </w:rPr>
        <w:t xml:space="preserve"> from a Point-Prevalence Survey Using </w:t>
      </w:r>
      <w:proofErr w:type="spellStart"/>
      <w:r w:rsidRPr="00D234E7">
        <w:rPr>
          <w:rFonts w:ascii="Calibri" w:hAnsi="Calibri" w:cs="Calibri"/>
          <w:b/>
          <w:sz w:val="20"/>
          <w:szCs w:val="20"/>
        </w:rPr>
        <w:t>A</w:t>
      </w:r>
      <w:r>
        <w:rPr>
          <w:rFonts w:ascii="Calibri" w:hAnsi="Calibri" w:cs="Calibri"/>
          <w:b/>
          <w:sz w:val="20"/>
          <w:szCs w:val="20"/>
        </w:rPr>
        <w:t>m</w:t>
      </w:r>
      <w:r w:rsidRPr="00D234E7">
        <w:rPr>
          <w:rFonts w:ascii="Calibri" w:hAnsi="Calibri" w:cs="Calibri"/>
          <w:b/>
          <w:sz w:val="20"/>
          <w:szCs w:val="20"/>
        </w:rPr>
        <w:t>RAT</w:t>
      </w:r>
      <w:proofErr w:type="spellEnd"/>
      <w:r>
        <w:rPr>
          <w:rFonts w:ascii="Calibri" w:hAnsi="Calibri" w:cs="Calibri"/>
          <w:b/>
          <w:sz w:val="20"/>
          <w:szCs w:val="20"/>
        </w:rPr>
        <w:t xml:space="preserve"> tool</w:t>
      </w:r>
    </w:p>
    <w:p w:rsidR="00FD4416" w:rsidRPr="004E5450" w:rsidRDefault="00FD4416" w:rsidP="00FD4416">
      <w:pPr>
        <w:jc w:val="both"/>
        <w:rPr>
          <w:sz w:val="20"/>
          <w:szCs w:val="20"/>
          <w:lang w:val="en-AU"/>
        </w:rPr>
      </w:pPr>
      <w:r w:rsidRPr="00D234E7">
        <w:rPr>
          <w:rFonts w:ascii="Calibri" w:hAnsi="Calibri" w:cs="Calibri"/>
          <w:sz w:val="20"/>
          <w:szCs w:val="20"/>
          <w:lang w:val="en-AU"/>
        </w:rPr>
        <w:t>Shilpa Kaore</w:t>
      </w:r>
      <w:r w:rsidRPr="00D234E7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Pr="00D234E7">
        <w:rPr>
          <w:rFonts w:ascii="Calibri" w:hAnsi="Calibri" w:cs="Calibri"/>
          <w:sz w:val="20"/>
          <w:szCs w:val="20"/>
          <w:lang w:val="en-AU"/>
        </w:rPr>
        <w:t>, Balakrishnan S.</w:t>
      </w:r>
      <w:r w:rsidRPr="00D234E7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Pr="00D234E7">
        <w:rPr>
          <w:rFonts w:ascii="Calibri" w:hAnsi="Calibri" w:cs="Calibri"/>
          <w:sz w:val="20"/>
          <w:szCs w:val="20"/>
          <w:lang w:val="en-AU"/>
        </w:rPr>
        <w:t>, Navinchandra Kaore</w:t>
      </w:r>
      <w:r w:rsidRPr="00D234E7">
        <w:rPr>
          <w:rFonts w:ascii="Calibri" w:hAnsi="Calibri" w:cs="Calibri"/>
          <w:sz w:val="20"/>
          <w:szCs w:val="20"/>
          <w:vertAlign w:val="superscript"/>
          <w:lang w:val="en-AU"/>
        </w:rPr>
        <w:t>2</w:t>
      </w:r>
      <w:r>
        <w:rPr>
          <w:rFonts w:ascii="Calibri" w:hAnsi="Calibri" w:cs="Calibri"/>
          <w:sz w:val="20"/>
          <w:szCs w:val="20"/>
          <w:vertAlign w:val="superscript"/>
          <w:lang w:val="en-AU"/>
        </w:rPr>
        <w:t xml:space="preserve"> </w:t>
      </w:r>
      <w:r w:rsidRPr="00D234E7">
        <w:rPr>
          <w:rFonts w:ascii="Calibri" w:hAnsi="Calibri" w:cs="Calibri"/>
          <w:sz w:val="20"/>
          <w:szCs w:val="20"/>
          <w:lang w:val="en-AU"/>
        </w:rPr>
        <w:t>Sagar Khadanga</w:t>
      </w:r>
      <w:r w:rsidRPr="00D234E7">
        <w:rPr>
          <w:rFonts w:ascii="Calibri" w:hAnsi="Calibri" w:cs="Calibri"/>
          <w:sz w:val="20"/>
          <w:szCs w:val="20"/>
          <w:vertAlign w:val="superscript"/>
          <w:lang w:val="en-AU"/>
        </w:rPr>
        <w:t>3</w:t>
      </w:r>
      <w:r w:rsidRPr="00D234E7">
        <w:rPr>
          <w:rFonts w:ascii="Calibri" w:hAnsi="Calibri" w:cs="Calibri"/>
          <w:sz w:val="20"/>
          <w:szCs w:val="20"/>
          <w:lang w:val="en-AU"/>
        </w:rPr>
        <w:t>, Bhavya</w:t>
      </w:r>
      <w:r>
        <w:rPr>
          <w:rFonts w:ascii="Calibri" w:hAnsi="Calibri" w:cs="Calibri"/>
          <w:sz w:val="20"/>
          <w:szCs w:val="20"/>
          <w:lang w:val="en-AU"/>
        </w:rPr>
        <w:t xml:space="preserve"> B</w:t>
      </w:r>
      <w:r w:rsidRPr="00D234E7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Pr="00D234E7">
        <w:rPr>
          <w:rFonts w:ascii="Calibri" w:hAnsi="Calibri" w:cs="Calibri"/>
          <w:sz w:val="20"/>
          <w:szCs w:val="20"/>
          <w:lang w:val="en-AU"/>
        </w:rPr>
        <w:t>, Shamsher Kalra</w:t>
      </w:r>
      <w:r>
        <w:rPr>
          <w:rFonts w:ascii="Calibri" w:hAnsi="Calibri" w:cs="Calibri"/>
          <w:sz w:val="20"/>
          <w:szCs w:val="20"/>
          <w:lang w:val="en-AU"/>
        </w:rPr>
        <w:t xml:space="preserve"> </w:t>
      </w:r>
      <w:r w:rsidRPr="00D234E7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Pr="00D234E7">
        <w:rPr>
          <w:rFonts w:ascii="Calibri" w:hAnsi="Calibri" w:cs="Calibri"/>
          <w:sz w:val="20"/>
          <w:szCs w:val="20"/>
          <w:lang w:val="en-AU"/>
        </w:rPr>
        <w:t>, Anuja Singh</w:t>
      </w:r>
      <w:r>
        <w:rPr>
          <w:rFonts w:ascii="Calibri" w:hAnsi="Calibri" w:cs="Calibri"/>
          <w:sz w:val="20"/>
          <w:szCs w:val="20"/>
          <w:lang w:val="en-AU"/>
        </w:rPr>
        <w:t xml:space="preserve"> </w:t>
      </w:r>
      <w:r w:rsidRPr="00D234E7">
        <w:rPr>
          <w:rFonts w:ascii="Calibri" w:hAnsi="Calibri" w:cs="Calibri"/>
          <w:sz w:val="20"/>
          <w:szCs w:val="20"/>
          <w:vertAlign w:val="superscript"/>
          <w:lang w:val="en-AU"/>
        </w:rPr>
        <w:t>2</w:t>
      </w:r>
      <w:r w:rsidRPr="00D234E7">
        <w:rPr>
          <w:rFonts w:ascii="Calibri" w:hAnsi="Calibri" w:cs="Calibri"/>
          <w:sz w:val="20"/>
          <w:szCs w:val="20"/>
          <w:lang w:val="en-AU"/>
        </w:rPr>
        <w:t>, Rishika Singh</w:t>
      </w:r>
      <w:r w:rsidRPr="00D234E7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>
        <w:rPr>
          <w:rFonts w:ascii="Calibri" w:hAnsi="Calibri" w:cs="Calibri"/>
          <w:sz w:val="20"/>
          <w:szCs w:val="20"/>
          <w:lang w:val="en-AU"/>
        </w:rPr>
        <w:t>, D</w:t>
      </w:r>
      <w:r w:rsidRPr="00D234E7">
        <w:rPr>
          <w:rFonts w:ascii="Calibri" w:hAnsi="Calibri" w:cs="Calibri"/>
          <w:sz w:val="20"/>
          <w:szCs w:val="20"/>
          <w:lang w:val="en-AU"/>
        </w:rPr>
        <w:t xml:space="preserve">ept. of </w:t>
      </w:r>
      <w:r>
        <w:rPr>
          <w:rFonts w:ascii="Calibri" w:hAnsi="Calibri" w:cs="Calibri"/>
          <w:sz w:val="20"/>
          <w:szCs w:val="20"/>
          <w:lang w:val="en-AU"/>
        </w:rPr>
        <w:t>Pharmacology</w:t>
      </w:r>
      <w:r w:rsidRPr="00640598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>
        <w:rPr>
          <w:rFonts w:ascii="Calibri" w:hAnsi="Calibri" w:cs="Calibri"/>
          <w:sz w:val="20"/>
          <w:szCs w:val="20"/>
          <w:lang w:val="en-AU"/>
        </w:rPr>
        <w:t>, M</w:t>
      </w:r>
      <w:r w:rsidRPr="00D234E7">
        <w:rPr>
          <w:rFonts w:ascii="Calibri" w:hAnsi="Calibri" w:cs="Calibri"/>
          <w:sz w:val="20"/>
          <w:szCs w:val="20"/>
          <w:lang w:val="en-AU"/>
        </w:rPr>
        <w:t>icrobiology</w:t>
      </w:r>
      <w:r w:rsidRPr="00640598">
        <w:rPr>
          <w:rFonts w:ascii="Calibri" w:hAnsi="Calibri" w:cs="Calibri"/>
          <w:sz w:val="20"/>
          <w:szCs w:val="20"/>
          <w:vertAlign w:val="superscript"/>
          <w:lang w:val="en-AU"/>
        </w:rPr>
        <w:t>2</w:t>
      </w:r>
      <w:r>
        <w:rPr>
          <w:rFonts w:ascii="Calibri" w:hAnsi="Calibri" w:cs="Calibri"/>
          <w:sz w:val="20"/>
          <w:szCs w:val="20"/>
          <w:lang w:val="en-AU"/>
        </w:rPr>
        <w:t xml:space="preserve"> &amp; General Medicine</w:t>
      </w:r>
      <w:r w:rsidRPr="00640598">
        <w:rPr>
          <w:rFonts w:ascii="Calibri" w:hAnsi="Calibri" w:cs="Calibri"/>
          <w:sz w:val="20"/>
          <w:szCs w:val="20"/>
          <w:vertAlign w:val="superscript"/>
          <w:lang w:val="en-AU"/>
        </w:rPr>
        <w:t>3</w:t>
      </w:r>
      <w:r w:rsidRPr="00D234E7">
        <w:rPr>
          <w:rFonts w:ascii="Calibri" w:hAnsi="Calibri" w:cs="Calibri"/>
          <w:sz w:val="20"/>
          <w:szCs w:val="20"/>
          <w:lang w:val="en-AU"/>
        </w:rPr>
        <w:t>, AIIMS</w:t>
      </w:r>
      <w:r>
        <w:rPr>
          <w:rFonts w:ascii="Calibri" w:hAnsi="Calibri" w:cs="Calibri"/>
          <w:sz w:val="20"/>
          <w:szCs w:val="20"/>
          <w:lang w:val="en-AU"/>
        </w:rPr>
        <w:t xml:space="preserve"> Bhopal, Madhya Pradesh, India   </w:t>
      </w:r>
      <w:r w:rsidRPr="004E5450">
        <w:rPr>
          <w:i/>
          <w:sz w:val="20"/>
          <w:szCs w:val="20"/>
        </w:rPr>
        <w:t xml:space="preserve"> </w:t>
      </w:r>
    </w:p>
    <w:p w:rsidR="00FD4416" w:rsidRDefault="00FD4416" w:rsidP="00FD4416">
      <w:pPr>
        <w:jc w:val="both"/>
        <w:rPr>
          <w:rFonts w:ascii="Calibri" w:hAnsi="Calibri" w:cs="Calibri"/>
          <w:sz w:val="20"/>
          <w:szCs w:val="20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Introduction.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Pr="00D234E7">
        <w:rPr>
          <w:rFonts w:ascii="Calibri" w:hAnsi="Calibri" w:cs="Calibri"/>
          <w:sz w:val="20"/>
          <w:szCs w:val="20"/>
        </w:rPr>
        <w:t xml:space="preserve">Antimicrobial stewardship in resource-limited settings needs timely, actionable data. </w:t>
      </w:r>
      <w:r>
        <w:rPr>
          <w:rFonts w:ascii="Calibri" w:hAnsi="Calibri" w:cs="Calibri"/>
          <w:sz w:val="20"/>
          <w:szCs w:val="20"/>
        </w:rPr>
        <w:t>P</w:t>
      </w:r>
      <w:r w:rsidRPr="00D234E7">
        <w:rPr>
          <w:rFonts w:ascii="Calibri" w:hAnsi="Calibri" w:cs="Calibri"/>
          <w:sz w:val="20"/>
          <w:szCs w:val="20"/>
        </w:rPr>
        <w:t>oint-prevalence survey offers a rapid cross-sectional snapshot of prescribing to guide local stewardship</w:t>
      </w:r>
      <w:r>
        <w:rPr>
          <w:rFonts w:ascii="Calibri" w:hAnsi="Calibri" w:cs="Calibri"/>
          <w:sz w:val="20"/>
          <w:szCs w:val="20"/>
        </w:rPr>
        <w:t>.</w:t>
      </w:r>
    </w:p>
    <w:p w:rsidR="00FD4416" w:rsidRPr="004E5450" w:rsidRDefault="00FD4416" w:rsidP="00FD4416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Aims</w:t>
      </w:r>
      <w:r w:rsidRPr="004E5450">
        <w:rPr>
          <w:rFonts w:ascii="Calibri" w:hAnsi="Calibri" w:cs="Calibri"/>
          <w:sz w:val="20"/>
          <w:szCs w:val="20"/>
          <w:lang w:val="en-AU"/>
        </w:rPr>
        <w:t>.</w:t>
      </w:r>
      <w:r>
        <w:rPr>
          <w:rFonts w:ascii="Calibri" w:hAnsi="Calibri" w:cs="Calibri"/>
          <w:sz w:val="20"/>
          <w:szCs w:val="20"/>
          <w:lang w:val="en-AU"/>
        </w:rPr>
        <w:t xml:space="preserve"> </w:t>
      </w:r>
      <w:r w:rsidRPr="00D234E7">
        <w:rPr>
          <w:rFonts w:ascii="Calibri" w:hAnsi="Calibri" w:cs="Calibri"/>
          <w:sz w:val="20"/>
          <w:szCs w:val="20"/>
        </w:rPr>
        <w:t xml:space="preserve">To evaluate </w:t>
      </w:r>
      <w:r>
        <w:rPr>
          <w:rFonts w:ascii="Calibri" w:hAnsi="Calibri" w:cs="Calibri"/>
          <w:sz w:val="20"/>
          <w:szCs w:val="20"/>
        </w:rPr>
        <w:t xml:space="preserve">the rationality of </w:t>
      </w:r>
      <w:r w:rsidRPr="00D234E7">
        <w:rPr>
          <w:rFonts w:ascii="Calibri" w:hAnsi="Calibri" w:cs="Calibri"/>
          <w:sz w:val="20"/>
          <w:szCs w:val="20"/>
        </w:rPr>
        <w:t xml:space="preserve">antimicrobial use patterns, indications, and prescription appropriateness using </w:t>
      </w:r>
      <w:r>
        <w:rPr>
          <w:rFonts w:ascii="Calibri" w:hAnsi="Calibri" w:cs="Calibri"/>
          <w:sz w:val="20"/>
          <w:szCs w:val="20"/>
        </w:rPr>
        <w:t xml:space="preserve">the </w:t>
      </w:r>
      <w:proofErr w:type="spellStart"/>
      <w:r w:rsidRPr="00D234E7"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m</w:t>
      </w:r>
      <w:r w:rsidRPr="00D234E7">
        <w:rPr>
          <w:rFonts w:ascii="Calibri" w:hAnsi="Calibri" w:cs="Calibri"/>
          <w:sz w:val="20"/>
          <w:szCs w:val="20"/>
        </w:rPr>
        <w:t>RAT</w:t>
      </w:r>
      <w:proofErr w:type="spellEnd"/>
      <w:r w:rsidRPr="00D234E7">
        <w:rPr>
          <w:rFonts w:ascii="Calibri" w:hAnsi="Calibri" w:cs="Calibri"/>
          <w:sz w:val="20"/>
          <w:szCs w:val="20"/>
        </w:rPr>
        <w:t xml:space="preserve"> 2.0</w:t>
      </w:r>
      <w:r>
        <w:rPr>
          <w:rFonts w:ascii="Calibri" w:hAnsi="Calibri" w:cs="Calibri"/>
          <w:sz w:val="20"/>
          <w:szCs w:val="20"/>
        </w:rPr>
        <w:t xml:space="preserve"> tool. </w:t>
      </w:r>
    </w:p>
    <w:p w:rsidR="00FD4416" w:rsidRPr="004E5450" w:rsidRDefault="00FD4416" w:rsidP="00FD4416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Methods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 w:rsidRPr="00771F17">
        <w:rPr>
          <w:rFonts w:ascii="Calibri" w:hAnsi="Calibri" w:cs="Calibri"/>
          <w:sz w:val="20"/>
          <w:szCs w:val="20"/>
        </w:rPr>
        <w:t xml:space="preserve">A point-prevalence survey of inpatients was conducted to capture demographics, clinical indications, prescribing intent, antimicrobial agents, and culture practices. Each prescription was assessed for appropriateness using </w:t>
      </w:r>
      <w:proofErr w:type="spellStart"/>
      <w:r w:rsidRPr="00D3034B"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m</w:t>
      </w:r>
      <w:r w:rsidRPr="00D3034B">
        <w:rPr>
          <w:rFonts w:ascii="Calibri" w:hAnsi="Calibri" w:cs="Calibri"/>
          <w:sz w:val="20"/>
          <w:szCs w:val="20"/>
        </w:rPr>
        <w:t>RAT</w:t>
      </w:r>
      <w:proofErr w:type="spellEnd"/>
      <w:r w:rsidRPr="00D3034B">
        <w:rPr>
          <w:rFonts w:ascii="Calibri" w:hAnsi="Calibri" w:cs="Calibri"/>
          <w:sz w:val="20"/>
          <w:szCs w:val="20"/>
        </w:rPr>
        <w:t xml:space="preserve"> 2.0 against </w:t>
      </w:r>
      <w:r>
        <w:rPr>
          <w:rFonts w:ascii="Calibri" w:hAnsi="Calibri" w:cs="Calibri"/>
          <w:sz w:val="20"/>
          <w:szCs w:val="20"/>
        </w:rPr>
        <w:t xml:space="preserve">the latest </w:t>
      </w:r>
      <w:r w:rsidRPr="00D3034B">
        <w:rPr>
          <w:rFonts w:ascii="Calibri" w:hAnsi="Calibri" w:cs="Calibri"/>
          <w:sz w:val="20"/>
          <w:szCs w:val="20"/>
        </w:rPr>
        <w:t xml:space="preserve">ICMR </w:t>
      </w:r>
      <w:r>
        <w:rPr>
          <w:rFonts w:ascii="Calibri" w:hAnsi="Calibri" w:cs="Calibri"/>
          <w:sz w:val="20"/>
          <w:szCs w:val="20"/>
        </w:rPr>
        <w:t xml:space="preserve">guidelines. </w:t>
      </w:r>
      <w:r w:rsidRPr="00771F17">
        <w:rPr>
          <w:rFonts w:ascii="Calibri" w:hAnsi="Calibri" w:cs="Calibri"/>
          <w:sz w:val="20"/>
          <w:szCs w:val="20"/>
        </w:rPr>
        <w:t>Data were analyzed descriptively and stratified by indication, diagnostic category, and acquisition.</w:t>
      </w:r>
    </w:p>
    <w:p w:rsidR="00FD4416" w:rsidRDefault="00FD4416" w:rsidP="00FD4416">
      <w:pPr>
        <w:jc w:val="both"/>
        <w:rPr>
          <w:rFonts w:ascii="Calibri" w:hAnsi="Calibri" w:cs="Calibri"/>
          <w:sz w:val="20"/>
          <w:szCs w:val="20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Results.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Pr="00195B43">
        <w:rPr>
          <w:rFonts w:ascii="Calibri" w:hAnsi="Calibri" w:cs="Calibri"/>
          <w:sz w:val="20"/>
          <w:szCs w:val="20"/>
          <w:lang w:val="en-IN"/>
        </w:rPr>
        <w:t xml:space="preserve">Of the 311 patients analysed, 90% received empirical antibiotic therapy. </w:t>
      </w:r>
      <w:r>
        <w:rPr>
          <w:rFonts w:ascii="Calibri" w:hAnsi="Calibri" w:cs="Calibri"/>
          <w:sz w:val="20"/>
          <w:szCs w:val="20"/>
          <w:lang w:val="en-IN"/>
        </w:rPr>
        <w:t>O</w:t>
      </w:r>
      <w:r w:rsidRPr="00195B43">
        <w:rPr>
          <w:rFonts w:ascii="Calibri" w:hAnsi="Calibri" w:cs="Calibri"/>
          <w:sz w:val="20"/>
          <w:szCs w:val="20"/>
          <w:lang w:val="en-IN"/>
        </w:rPr>
        <w:t xml:space="preserve">ne-third (33%) were prescribed a second antibiotic, with 85% of those decisions based on clinical judgment rather than microbiological evidence. Using the </w:t>
      </w:r>
      <w:proofErr w:type="spellStart"/>
      <w:r w:rsidRPr="00195B43">
        <w:rPr>
          <w:rFonts w:ascii="Calibri" w:hAnsi="Calibri" w:cs="Calibri"/>
          <w:sz w:val="20"/>
          <w:szCs w:val="20"/>
          <w:lang w:val="en-IN"/>
        </w:rPr>
        <w:t>AmRAT</w:t>
      </w:r>
      <w:proofErr w:type="spellEnd"/>
      <w:r w:rsidRPr="00195B43">
        <w:rPr>
          <w:rFonts w:ascii="Calibri" w:hAnsi="Calibri" w:cs="Calibri"/>
          <w:sz w:val="20"/>
          <w:szCs w:val="20"/>
          <w:lang w:val="en-IN"/>
        </w:rPr>
        <w:t xml:space="preserve"> tool, 62 prescriptions (19.93%) were identified as irrational. The most frequently implicated agents included amoxicillin–β-lactamase inhibitor (9%), cefuroxime (8%), ceftriaxone (8%), and cefixime (6%).</w:t>
      </w:r>
      <w:r>
        <w:rPr>
          <w:rFonts w:ascii="Calibri" w:hAnsi="Calibri" w:cs="Calibri"/>
          <w:sz w:val="20"/>
          <w:szCs w:val="20"/>
          <w:lang w:val="en-IN"/>
        </w:rPr>
        <w:t xml:space="preserve"> </w:t>
      </w:r>
      <w:r w:rsidRPr="00195B43">
        <w:rPr>
          <w:rFonts w:ascii="Calibri" w:hAnsi="Calibri" w:cs="Calibri"/>
          <w:sz w:val="20"/>
          <w:szCs w:val="20"/>
          <w:lang w:val="en-IN"/>
        </w:rPr>
        <w:t>Irrational prescribing was most commonly associated with gastrointestinal infections (47%) and soft tissue/bone-joint infections (24%). In the GI, OBGY, UTI, and CVS categories, irrational use was largely driven by prophylactic intent. In contrast, empirical prescribing dominated in SSTBJ, ENT, and respiratory cases. CNS infections showed a mixed pattern, with occasional reliance on laboratory data.</w:t>
      </w:r>
      <w:r>
        <w:rPr>
          <w:rFonts w:ascii="Calibri" w:hAnsi="Calibri" w:cs="Calibri"/>
          <w:sz w:val="20"/>
          <w:szCs w:val="20"/>
          <w:lang w:val="en-IN"/>
        </w:rPr>
        <w:t xml:space="preserve"> Prescriptions for HAI</w:t>
      </w:r>
      <w:r w:rsidRPr="00195B43">
        <w:rPr>
          <w:rFonts w:ascii="Calibri" w:hAnsi="Calibri" w:cs="Calibri"/>
          <w:sz w:val="20"/>
          <w:szCs w:val="20"/>
          <w:lang w:val="en-IN"/>
        </w:rPr>
        <w:t xml:space="preserve">s accounted for 4.7% of cases, while community-acquired infections represented 27.1%. The predominance of </w:t>
      </w:r>
      <w:r w:rsidRPr="00195B43">
        <w:rPr>
          <w:rFonts w:ascii="Calibri" w:hAnsi="Calibri" w:cs="Calibri"/>
          <w:sz w:val="20"/>
          <w:szCs w:val="20"/>
        </w:rPr>
        <w:t xml:space="preserve">Prophylaxis-driven irrational use </w:t>
      </w:r>
      <w:r>
        <w:rPr>
          <w:rFonts w:ascii="Calibri" w:hAnsi="Calibri" w:cs="Calibri"/>
          <w:sz w:val="20"/>
          <w:szCs w:val="20"/>
        </w:rPr>
        <w:t xml:space="preserve">highlights </w:t>
      </w:r>
      <w:r w:rsidRPr="00195B43">
        <w:rPr>
          <w:rFonts w:ascii="Calibri" w:hAnsi="Calibri" w:cs="Calibri"/>
          <w:sz w:val="20"/>
          <w:szCs w:val="20"/>
        </w:rPr>
        <w:t xml:space="preserve">the need for </w:t>
      </w:r>
      <w:r>
        <w:rPr>
          <w:rFonts w:ascii="Calibri" w:hAnsi="Calibri" w:cs="Calibri"/>
          <w:sz w:val="20"/>
          <w:szCs w:val="20"/>
        </w:rPr>
        <w:t>targeted</w:t>
      </w:r>
      <w:r w:rsidRPr="00195B43">
        <w:rPr>
          <w:rFonts w:ascii="Calibri" w:hAnsi="Calibri" w:cs="Calibri"/>
          <w:sz w:val="20"/>
          <w:szCs w:val="20"/>
        </w:rPr>
        <w:t xml:space="preserve"> stewardship</w:t>
      </w:r>
      <w:r>
        <w:rPr>
          <w:rFonts w:ascii="Calibri" w:hAnsi="Calibri" w:cs="Calibri"/>
          <w:sz w:val="20"/>
          <w:szCs w:val="20"/>
        </w:rPr>
        <w:t xml:space="preserve"> intervention. </w:t>
      </w:r>
    </w:p>
    <w:p w:rsidR="00186700" w:rsidRPr="00FD4416" w:rsidRDefault="00FD4416" w:rsidP="00FD4416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Discussion.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Pr="00773897">
        <w:rPr>
          <w:rFonts w:ascii="Calibri" w:hAnsi="Calibri" w:cs="Calibri"/>
          <w:sz w:val="20"/>
          <w:szCs w:val="20"/>
        </w:rPr>
        <w:t xml:space="preserve">Although most prescriptions were appropriate, the high reliance on empirical therapy, frequent prophylactic use, and nearly 20% irrational prescribing reveal gaps in evidence-based practice. Inappropriate use was concentrated in GI and OBGY prophylaxis, with </w:t>
      </w:r>
      <w:r w:rsidRPr="00195B43">
        <w:rPr>
          <w:rFonts w:ascii="Calibri" w:hAnsi="Calibri" w:cs="Calibri"/>
          <w:sz w:val="20"/>
          <w:szCs w:val="20"/>
          <w:lang w:val="en-IN"/>
        </w:rPr>
        <w:t>amoxicillin–β-lactamase inhibitor</w:t>
      </w:r>
      <w:r>
        <w:rPr>
          <w:rFonts w:ascii="Calibri" w:hAnsi="Calibri" w:cs="Calibri"/>
          <w:sz w:val="20"/>
          <w:szCs w:val="20"/>
          <w:lang w:val="en-IN"/>
        </w:rPr>
        <w:t xml:space="preserve">, </w:t>
      </w:r>
      <w:r w:rsidRPr="00773897">
        <w:rPr>
          <w:rFonts w:ascii="Calibri" w:hAnsi="Calibri" w:cs="Calibri"/>
          <w:sz w:val="20"/>
          <w:szCs w:val="20"/>
        </w:rPr>
        <w:t xml:space="preserve">cefuroxime, ceftriaxone, and cefixime </w:t>
      </w:r>
      <w:r>
        <w:rPr>
          <w:rFonts w:ascii="Calibri" w:hAnsi="Calibri" w:cs="Calibri"/>
          <w:sz w:val="20"/>
          <w:szCs w:val="20"/>
        </w:rPr>
        <w:t xml:space="preserve">being </w:t>
      </w:r>
      <w:r w:rsidRPr="00773897">
        <w:rPr>
          <w:rFonts w:ascii="Calibri" w:hAnsi="Calibri" w:cs="Calibri"/>
          <w:sz w:val="20"/>
          <w:szCs w:val="20"/>
        </w:rPr>
        <w:t xml:space="preserve">most often misused. These insights reinforce the need for </w:t>
      </w:r>
      <w:r>
        <w:rPr>
          <w:rFonts w:ascii="Calibri" w:hAnsi="Calibri" w:cs="Calibri"/>
          <w:sz w:val="20"/>
          <w:szCs w:val="20"/>
        </w:rPr>
        <w:t>frequent</w:t>
      </w:r>
      <w:r w:rsidRPr="00773897">
        <w:rPr>
          <w:rFonts w:ascii="Calibri" w:hAnsi="Calibri" w:cs="Calibri"/>
          <w:sz w:val="20"/>
          <w:szCs w:val="20"/>
        </w:rPr>
        <w:t xml:space="preserve"> point-prevalence surveys, culture-driven prescribing, </w:t>
      </w:r>
      <w:r>
        <w:rPr>
          <w:rFonts w:ascii="Calibri" w:hAnsi="Calibri" w:cs="Calibri"/>
          <w:sz w:val="20"/>
          <w:szCs w:val="20"/>
        </w:rPr>
        <w:t xml:space="preserve">local </w:t>
      </w:r>
      <w:r w:rsidRPr="00773897">
        <w:rPr>
          <w:rFonts w:ascii="Calibri" w:hAnsi="Calibri" w:cs="Calibri"/>
          <w:sz w:val="20"/>
          <w:szCs w:val="20"/>
        </w:rPr>
        <w:t>antibiogram utilization, and focused education to</w:t>
      </w:r>
      <w:r>
        <w:rPr>
          <w:rFonts w:ascii="Calibri" w:hAnsi="Calibri" w:cs="Calibri"/>
          <w:sz w:val="20"/>
          <w:szCs w:val="20"/>
        </w:rPr>
        <w:t xml:space="preserve">wards prescribing practices and </w:t>
      </w:r>
      <w:r w:rsidRPr="00773897">
        <w:rPr>
          <w:rFonts w:ascii="Calibri" w:hAnsi="Calibri" w:cs="Calibri"/>
          <w:sz w:val="20"/>
          <w:szCs w:val="20"/>
        </w:rPr>
        <w:t>strengthen</w:t>
      </w:r>
      <w:r>
        <w:rPr>
          <w:rFonts w:ascii="Calibri" w:hAnsi="Calibri" w:cs="Calibri"/>
          <w:sz w:val="20"/>
          <w:szCs w:val="20"/>
        </w:rPr>
        <w:t xml:space="preserve">ing of antimicrobial </w:t>
      </w:r>
      <w:r w:rsidRPr="00773897">
        <w:rPr>
          <w:rFonts w:ascii="Calibri" w:hAnsi="Calibri" w:cs="Calibri"/>
          <w:sz w:val="20"/>
          <w:szCs w:val="20"/>
        </w:rPr>
        <w:t xml:space="preserve">stewardship </w:t>
      </w:r>
      <w:r>
        <w:rPr>
          <w:rFonts w:ascii="Calibri" w:hAnsi="Calibri" w:cs="Calibri"/>
          <w:sz w:val="20"/>
          <w:szCs w:val="20"/>
        </w:rPr>
        <w:t xml:space="preserve">to </w:t>
      </w:r>
      <w:r w:rsidRPr="00773897">
        <w:rPr>
          <w:rFonts w:ascii="Calibri" w:hAnsi="Calibri" w:cs="Calibri"/>
          <w:sz w:val="20"/>
          <w:szCs w:val="20"/>
        </w:rPr>
        <w:t>reduce avoidable antibiotic use</w:t>
      </w:r>
      <w:r>
        <w:rPr>
          <w:rFonts w:ascii="Calibri" w:hAnsi="Calibri" w:cs="Calibri"/>
          <w:sz w:val="20"/>
          <w:szCs w:val="20"/>
        </w:rPr>
        <w:t xml:space="preserve"> </w:t>
      </w:r>
      <w:r w:rsidRPr="00773897">
        <w:rPr>
          <w:rFonts w:ascii="Calibri" w:hAnsi="Calibri" w:cs="Calibri"/>
          <w:sz w:val="20"/>
          <w:szCs w:val="20"/>
        </w:rPr>
        <w:t>in hospital settings.</w:t>
      </w:r>
    </w:p>
    <w:sectPr w:rsidR="00186700" w:rsidRPr="00FD4416" w:rsidSect="00FD4416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416"/>
    <w:rsid w:val="00186700"/>
    <w:rsid w:val="001D3F7E"/>
    <w:rsid w:val="00504AAC"/>
    <w:rsid w:val="0056514B"/>
    <w:rsid w:val="007B0689"/>
    <w:rsid w:val="00966D36"/>
    <w:rsid w:val="00CC4294"/>
    <w:rsid w:val="00D142EA"/>
    <w:rsid w:val="00FD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CF0D0AB-AC33-E349-867E-C01D4AEAB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416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441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441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441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441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441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441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441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441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441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44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44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44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44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44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44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44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44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44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44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D44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441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D44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441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D44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441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D44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44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44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44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414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Shilpa Kaore</dc:creator>
  <cp:keywords/>
  <dc:description/>
  <cp:lastModifiedBy>Shilpa Kaore</cp:lastModifiedBy>
  <cp:revision>3</cp:revision>
  <dcterms:created xsi:type="dcterms:W3CDTF">2025-09-15T10:12:00Z</dcterms:created>
  <dcterms:modified xsi:type="dcterms:W3CDTF">2025-09-15T12:40:00Z</dcterms:modified>
</cp:coreProperties>
</file>