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74B9" w14:textId="77777777" w:rsidR="00933E98" w:rsidRDefault="00E57640" w:rsidP="00933E98">
      <w:pPr>
        <w:spacing w:after="0" w:line="240" w:lineRule="auto"/>
        <w:jc w:val="center"/>
        <w:rPr>
          <w:rFonts w:ascii="Arial" w:eastAsia="DengXian" w:hAnsi="Arial" w:cs="Calibri"/>
          <w:b/>
          <w:bCs/>
          <w:kern w:val="0"/>
          <w:lang w:val="en-US" w:eastAsia="zh-CN"/>
          <w14:ligatures w14:val="none"/>
        </w:rPr>
      </w:pPr>
      <w:r w:rsidRPr="00E57640">
        <w:rPr>
          <w:rFonts w:ascii="Arial" w:eastAsia="DengXian" w:hAnsi="Arial" w:cs="Calibri"/>
          <w:b/>
          <w:bCs/>
          <w:kern w:val="0"/>
          <w:lang w:val="en-US" w:eastAsia="zh-CN"/>
          <w14:ligatures w14:val="none"/>
        </w:rPr>
        <w:t xml:space="preserve">Cannabigerol as a Potential Gerotherapeutic Agent: </w:t>
      </w:r>
    </w:p>
    <w:p w14:paraId="1ACB52B0" w14:textId="262B9B6A" w:rsidR="00221785" w:rsidRDefault="00E57640" w:rsidP="00933E98">
      <w:pPr>
        <w:spacing w:after="0" w:line="240" w:lineRule="auto"/>
        <w:jc w:val="center"/>
        <w:rPr>
          <w:rFonts w:ascii="Arial" w:eastAsia="DengXian" w:hAnsi="Arial" w:cs="Calibri"/>
          <w:b/>
          <w:bCs/>
          <w:kern w:val="0"/>
          <w:lang w:val="en-US" w:eastAsia="zh-CN"/>
          <w14:ligatures w14:val="none"/>
        </w:rPr>
      </w:pPr>
      <w:r w:rsidRPr="00E57640">
        <w:rPr>
          <w:rFonts w:ascii="Arial" w:eastAsia="DengXian" w:hAnsi="Arial" w:cs="Calibri"/>
          <w:b/>
          <w:bCs/>
          <w:kern w:val="0"/>
          <w:lang w:val="en-US" w:eastAsia="zh-CN"/>
          <w14:ligatures w14:val="none"/>
        </w:rPr>
        <w:t xml:space="preserve">Evidence from </w:t>
      </w:r>
      <w:r w:rsidR="007A77ED" w:rsidRPr="007A77ED">
        <w:rPr>
          <w:rFonts w:ascii="Arial" w:eastAsia="DengXian" w:hAnsi="Arial" w:cs="Calibri"/>
          <w:b/>
          <w:bCs/>
          <w:i/>
          <w:iCs/>
          <w:kern w:val="0"/>
          <w:lang w:val="en-US" w:eastAsia="zh-CN"/>
          <w14:ligatures w14:val="none"/>
        </w:rPr>
        <w:t>Caenorhabditis elegans</w:t>
      </w:r>
    </w:p>
    <w:p w14:paraId="23C21559" w14:textId="77777777" w:rsidR="00933E98" w:rsidRDefault="00933E98" w:rsidP="00933E98">
      <w:pPr>
        <w:spacing w:after="0" w:line="240" w:lineRule="auto"/>
        <w:jc w:val="center"/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</w:pPr>
    </w:p>
    <w:p w14:paraId="79141BD9" w14:textId="3658F6CC" w:rsidR="00C315D2" w:rsidRPr="00376AD9" w:rsidRDefault="00397D7C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01F85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Zhizhen Wang</w:t>
      </w:r>
      <w:r w:rsidR="00C315D2" w:rsidRPr="00784BBA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Pr="00784B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Jonathon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C. Arnold</w:t>
      </w:r>
      <w:r w:rsidR="00376AD9" w:rsidRPr="00376AD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</w:t>
      </w:r>
      <w:r w:rsidR="006D17D9" w:rsidRPr="00376AD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</w:p>
    <w:p w14:paraId="4A57B6D0" w14:textId="2A8ACD2C" w:rsidR="00DF261F" w:rsidRDefault="00DF261F" w:rsidP="00DF261F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F26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 Pharmacy School,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DF26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Faculty of Medicine and Health, The University of Sydney,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25CE8" w:rsidRP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Sydney,</w:t>
      </w:r>
      <w:r w:rsid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25CE8" w:rsidRP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NSW, Australia</w:t>
      </w:r>
      <w:r w:rsidR="00C25CE8" w:rsidRPr="00C25CE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</w:p>
    <w:p w14:paraId="2820E67F" w14:textId="29EDC895" w:rsidR="00C25CE8" w:rsidRPr="00DF261F" w:rsidRDefault="00C25CE8" w:rsidP="00C25CE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Lambert Initiative for Cannabinoid Therapeutics, Brain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Mind Centre, The University of Sydney, Sydney,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C25C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NSW, Australia</w:t>
      </w:r>
      <w:r w:rsidRPr="00C25CE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</w:p>
    <w:p w14:paraId="2DD37039" w14:textId="6A6E6460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A573817" w14:textId="6363E3F4" w:rsidR="00561FD5" w:rsidRPr="00D01F85" w:rsidRDefault="00B8473A" w:rsidP="00332DF1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01F8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D01F8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561FD5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Ageing is a complex biological process that involves the gradual deterioration of molecular and cellular function which leads to suboptimal health, morbidity and mortality.</w:t>
      </w:r>
      <w:r w:rsidR="0099099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Gerotherapeutic agents are molecules that target</w:t>
      </w:r>
      <w:r w:rsidR="00D0287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ageing biology to delay ageing and promote healthy </w:t>
      </w:r>
      <w:r w:rsidR="00173314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longevity, has increasingly focused on natural products with bioactive properties. Cannabigerol (CB</w:t>
      </w:r>
      <w:r w:rsidR="00B529F9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</w:t>
      </w:r>
      <w:r w:rsidR="00173314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), a non-psychoactive cannabinoid found in</w:t>
      </w:r>
      <w:r w:rsidR="005B003E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the cannabis plant</w:t>
      </w:r>
      <w:r w:rsidR="00053F1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30154E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has recently attracted growing</w:t>
      </w:r>
      <w:r w:rsidR="00B76C9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attention </w:t>
      </w:r>
      <w:r w:rsidR="00AE10FF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due</w:t>
      </w:r>
      <w:r w:rsidR="00B76C9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to </w:t>
      </w:r>
      <w:r w:rsidR="00AE10FF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its broad spectrum</w:t>
      </w:r>
      <w:r w:rsidR="00B76C9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of potential health benefits, including anti-inflammation, antioxidant and neuroprotect</w:t>
      </w:r>
      <w:r w:rsidR="00837D1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ive effects</w:t>
      </w:r>
      <w:r w:rsidR="00A2322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A2322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begin">
          <w:fldData xml:space="preserve">PEVuZE5vdGU+PENpdGU+PEF1dGhvcj5MaTwvQXV0aG9yPjxZZWFyPjIwMjQ8L1llYXI+PFJlY051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</w:fldData>
        </w:fldChar>
      </w:r>
      <w:r w:rsidR="00A2322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instrText xml:space="preserve"> ADDIN EN.CITE </w:instrText>
      </w:r>
      <w:r w:rsidR="00A2322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begin">
          <w:fldData xml:space="preserve">PEVuZE5vdGU+PENpdGU+PEF1dGhvcj5MaTwvQXV0aG9yPjxZZWFyPjIwMjQ8L1llYXI+PFJlY051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</w:fldData>
        </w:fldChar>
      </w:r>
      <w:r w:rsidR="00A2322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instrText xml:space="preserve"> ADDIN EN.CITE.DATA </w:instrText>
      </w:r>
      <w:r w:rsidR="00A2322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r>
      <w:r w:rsidR="00A2322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end"/>
      </w:r>
      <w:r w:rsidR="00A2322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r>
      <w:r w:rsidR="00A2322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separate"/>
      </w:r>
      <w:r w:rsidR="00A23226" w:rsidRPr="00D01F85">
        <w:rPr>
          <w:rFonts w:ascii="Arial" w:eastAsia="Calibri" w:hAnsi="Arial" w:cs="Arial"/>
          <w:bCs/>
          <w:noProof/>
          <w:kern w:val="0"/>
          <w:sz w:val="20"/>
          <w:szCs w:val="20"/>
          <w14:ligatures w14:val="none"/>
        </w:rPr>
        <w:t>(Li et al., 2024)</w:t>
      </w:r>
      <w:r w:rsidR="00A2322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end"/>
      </w:r>
      <w:r w:rsidR="007A77E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However, its role in modulating ageing and lifespan has not been well defined. </w:t>
      </w:r>
      <w:r w:rsidR="007A77ED" w:rsidRPr="00D01F85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Caenorhabditis elegans</w:t>
      </w:r>
      <w:r w:rsidR="007A77E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</w:t>
      </w:r>
      <w:r w:rsidR="007A77ED" w:rsidRPr="00D01F85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C. elegans</w:t>
      </w:r>
      <w:r w:rsidR="007A77E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64256E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D2321E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</w:t>
      </w:r>
      <w:r w:rsidR="005765DA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widely used model</w:t>
      </w:r>
      <w:r w:rsidR="00D2321E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nematode</w:t>
      </w:r>
      <w:r w:rsidR="005765DA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for </w:t>
      </w:r>
      <w:r w:rsidR="00642A39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ageing study, offer</w:t>
      </w:r>
      <w:r w:rsidR="00D2321E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</w:t>
      </w:r>
      <w:r w:rsidR="00642A39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 valuable system to investigate the biological impact of CBG on age-related processes, including stress</w:t>
      </w:r>
      <w:r w:rsidR="00783D88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resistance, lifespan and health span.</w:t>
      </w:r>
      <w:r w:rsidR="005A3A85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This project aims </w:t>
      </w:r>
      <w:r w:rsidR="00312032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to investigate </w:t>
      </w:r>
      <w:r w:rsidR="00F022C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the gerotherapeutic potential of CBG by assessing its impact on lifespan, health span and stress</w:t>
      </w:r>
      <w:r w:rsidR="00496F65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tolerance</w:t>
      </w:r>
      <w:r w:rsidR="00F022C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F690F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in </w:t>
      </w:r>
      <w:r w:rsidR="009F690F" w:rsidRPr="007321BF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C. elegans</w:t>
      </w:r>
      <w:r w:rsidR="009F690F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2535EF9B" w14:textId="153A53F6" w:rsidR="003A4EDE" w:rsidRPr="00D01F85" w:rsidRDefault="003A4EDE" w:rsidP="00F022CD">
      <w:pPr>
        <w:tabs>
          <w:tab w:val="left" w:pos="3899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00BED77" w14:textId="7D408483" w:rsidR="009F690F" w:rsidRPr="00D01F85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01F8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76B0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Wild-type </w:t>
      </w:r>
      <w:r w:rsidR="00C76B0B" w:rsidRPr="00D01F85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C. elegans</w:t>
      </w:r>
      <w:r w:rsidR="00C76B0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N2 used in this study. Strains were provided by the Caenorhabditis Genetics Center (CGC)</w:t>
      </w:r>
      <w:r w:rsidR="000D1B5E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University of Minnesota. All strains were maintained on nematode growth medium (NGM) agar plates seeded with </w:t>
      </w:r>
      <w:r w:rsidR="000D1B5E" w:rsidRPr="00D01F85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E.coli</w:t>
      </w:r>
      <w:r w:rsidR="000D1B5E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 OP50</w:t>
      </w:r>
      <w:r w:rsidR="00CD2CB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at 20</w:t>
      </w:r>
      <w:r w:rsidR="00CD2CBD" w:rsidRPr="00D01F85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℃</w:t>
      </w:r>
      <w:r w:rsidR="00CD2CB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for lifespan and health span assays.</w:t>
      </w:r>
      <w:r w:rsidR="00CB4A97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B5B11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For </w:t>
      </w:r>
      <w:r w:rsidR="003F6364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</w:t>
      </w:r>
      <w:r w:rsidR="000B5B11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thermotolerance assay, </w:t>
      </w:r>
      <w:r w:rsidR="003F6364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worms</w:t>
      </w:r>
      <w:r w:rsidR="00B5765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were incubated at 3</w:t>
      </w:r>
      <w:r w:rsidR="00375A56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7</w:t>
      </w:r>
      <w:r w:rsidR="00B5765C" w:rsidRPr="00D01F85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℃</w:t>
      </w:r>
      <w:r w:rsidR="00B5765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for 4 hours and </w:t>
      </w:r>
      <w:r w:rsidR="0053761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followed by 30 min recovery</w:t>
      </w:r>
      <w:r w:rsidR="009A406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period at 20</w:t>
      </w:r>
      <w:r w:rsidR="009A406B" w:rsidRPr="00D01F85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℃</w:t>
      </w:r>
      <w:r w:rsidR="009A406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 after which survival was scored.</w:t>
      </w:r>
      <w:r w:rsidR="0053761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D80529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Lifespan were </w:t>
      </w:r>
      <w:r w:rsidR="00E30899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conducted</w:t>
      </w:r>
      <w:r w:rsidR="00D80529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92C48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with age-synchronized N2 </w:t>
      </w:r>
      <w:r w:rsidR="00E30899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worms, with treatment (</w:t>
      </w:r>
      <w:r w:rsidR="00092C48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CBG</w:t>
      </w:r>
      <w:r w:rsidR="00E30899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092C48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or </w:t>
      </w:r>
      <w:r w:rsidR="002B4FB4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vehicle control initiated </w:t>
      </w:r>
      <w:r w:rsidR="00092C48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at the L4 stage. A total initial population of </w:t>
      </w:r>
      <w:r w:rsidR="00AE062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100</w:t>
      </w:r>
      <w:r w:rsidR="00E71629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worms was tested for each treatment condition.</w:t>
      </w:r>
      <w:r w:rsidR="00AF7242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89445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For </w:t>
      </w:r>
      <w:r w:rsidR="002B4FB4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</w:t>
      </w:r>
      <w:r w:rsidR="0089445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</w:t>
      </w:r>
      <w:r w:rsidR="00AF7242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ody bends </w:t>
      </w:r>
      <w:r w:rsidR="0089445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</w:t>
      </w:r>
      <w:r w:rsidR="002B4FB4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ssay</w:t>
      </w:r>
      <w:r w:rsidR="0089445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E415E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locomotion was assessed by counting t</w:t>
      </w:r>
      <w:r w:rsidR="00CD116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he number of complete body </w:t>
      </w:r>
      <w:r w:rsidR="00E415E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bends within a</w:t>
      </w:r>
      <w:r w:rsidR="00CD116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30s period on day 3 and day 8.</w:t>
      </w:r>
      <w:r w:rsidR="00D80529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41BFB65E" w14:textId="77777777" w:rsidR="00401B87" w:rsidRPr="00D01F85" w:rsidRDefault="00401B87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09AD27F1" w14:textId="7CFCB111" w:rsidR="00760093" w:rsidRPr="007A431F" w:rsidRDefault="00795378" w:rsidP="0076009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01F8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D01F85"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  <w:r w:rsidR="0065679D" w:rsidRPr="00D01F8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We first evaluated whether CBG </w:t>
      </w:r>
      <w:r w:rsidR="006328A3" w:rsidRPr="00D01F8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enhance</w:t>
      </w:r>
      <w:r w:rsidR="007A431F" w:rsidRPr="00D01F8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s</w:t>
      </w:r>
      <w:r w:rsidR="006328A3" w:rsidRPr="00D01F8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resistance</w:t>
      </w:r>
      <w:r w:rsidR="00D064C0" w:rsidRPr="00D01F8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to heat stress, we pretreated worms with different concentrations</w:t>
      </w:r>
      <w:r w:rsidR="008D7370" w:rsidRPr="00D01F8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8D7370" w:rsidRPr="007A431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(10, 30, and 100 µM) </w:t>
      </w:r>
      <w:r w:rsidR="00D064C0" w:rsidRPr="00D01F8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of CB</w:t>
      </w:r>
      <w:r w:rsidR="008D7370" w:rsidRPr="00D01F8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G</w:t>
      </w:r>
      <w:r w:rsidR="00D064C0" w:rsidRPr="00D01F8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for 2 </w:t>
      </w:r>
      <w:r w:rsidR="00D064C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days at 20</w:t>
      </w:r>
      <w:r w:rsidR="00D064C0" w:rsidRPr="00D01F85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℃</w:t>
      </w:r>
      <w:r w:rsidR="00E6299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followed </w:t>
      </w:r>
      <w:r w:rsidR="00503293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by exposure to heat stress. </w:t>
      </w:r>
      <w:r w:rsidR="0054385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Worms treated with </w:t>
      </w:r>
      <w:r w:rsidR="00503293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CBG </w:t>
      </w:r>
      <w:r w:rsidR="0054385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at 10 µM and 30 µM showed</w:t>
      </w:r>
      <w:r w:rsidR="00902D75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significantly increased</w:t>
      </w:r>
      <w:r w:rsidR="00503293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survival </w:t>
      </w:r>
      <w:r w:rsidR="00902D75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compared to the</w:t>
      </w:r>
      <w:r w:rsidR="00A92E4E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control group</w:t>
      </w:r>
      <w:r w:rsidR="00C9020A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  <w:r w:rsidR="007810F4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</w:t>
      </w:r>
      <w:r w:rsidR="001349D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n our lifespan assays, </w:t>
      </w:r>
      <w:r w:rsidR="007810F4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age-synchronized worms were treated with </w:t>
      </w:r>
      <w:r w:rsidR="001349D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CBG </w:t>
      </w:r>
      <w:r w:rsidR="007810F4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starting</w:t>
      </w:r>
      <w:r w:rsidR="00390D4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from L4 stage </w:t>
      </w:r>
      <w:r w:rsidR="00760093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at</w:t>
      </w:r>
      <w:r w:rsidR="00390D4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concentrations </w:t>
      </w:r>
      <w:r w:rsidR="00760093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of</w:t>
      </w:r>
      <w:r w:rsidR="00390D4B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10, 30 and 100 µM at 20</w:t>
      </w:r>
      <w:r w:rsidR="00390D4B" w:rsidRPr="001F3D22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℃</w:t>
      </w:r>
      <w:r w:rsidR="00AA5111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As a result, </w:t>
      </w:r>
      <w:r w:rsidR="00760093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only the 10µM </w:t>
      </w:r>
      <w:r w:rsidR="00AA5111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CBG </w:t>
      </w:r>
      <w:r w:rsidR="00760093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treatment resulted in a</w:t>
      </w:r>
      <w:r w:rsidR="00AA5111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760093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significant lifespan extension compared to the control, while </w:t>
      </w:r>
      <w:r w:rsidR="00760093" w:rsidRPr="007A431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30 µM and 100 µM did not show any beneficial effect.</w:t>
      </w:r>
      <w:r w:rsidR="007F0B51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91CE2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Subsequently, we evaluated the </w:t>
      </w:r>
      <w:r w:rsidR="00BA6EA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effect of </w:t>
      </w:r>
      <w:r w:rsidR="00896E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10 µM </w:t>
      </w:r>
      <w:r w:rsidR="00BA6EA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CBG</w:t>
      </w:r>
      <w:r w:rsidR="00FC007F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BA6EA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on </w:t>
      </w:r>
      <w:r w:rsidR="00BA6EAD" w:rsidRPr="00896E2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C. elegans</w:t>
      </w:r>
      <w:r w:rsidR="00BA6EAD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2D18F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locomotion, </w:t>
      </w:r>
      <w:r w:rsidR="00FC007F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 </w:t>
      </w:r>
      <w:r w:rsidR="002D18F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commonly used metr</w:t>
      </w:r>
      <w:r w:rsidR="00FC007F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ic</w:t>
      </w:r>
      <w:r w:rsidR="002D18F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to assess health</w:t>
      </w:r>
      <w:r w:rsidR="00FC4537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2D18FC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span.</w:t>
      </w:r>
      <w:r w:rsidR="008B55D7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The results demonstrated that the treatment with CBG significantly </w:t>
      </w:r>
      <w:r w:rsidR="00664B00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enhanced the body bending in worms </w:t>
      </w:r>
      <w:r w:rsidR="00FC4537" w:rsidRPr="00D01F8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on day 8.</w:t>
      </w:r>
    </w:p>
    <w:p w14:paraId="3C225122" w14:textId="77777777" w:rsidR="004C4F63" w:rsidRPr="004C4F63" w:rsidRDefault="004C4F63" w:rsidP="2021B9E9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lang w:val="en-US"/>
          <w14:ligatures w14:val="none"/>
        </w:rPr>
      </w:pPr>
    </w:p>
    <w:p w14:paraId="13FA5837" w14:textId="15853D5F" w:rsidR="00AE3E6A" w:rsidRDefault="004C4F63" w:rsidP="00AE3E6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8069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This study demonstrates that CBG enhances thermotolerance, </w:t>
      </w:r>
      <w:r w:rsidR="001241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extends lifespan and improves locomotion at low concentrations in </w:t>
      </w:r>
      <w:r w:rsidR="00124187" w:rsidRPr="00E505FE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C. elegans</w:t>
      </w:r>
      <w:r w:rsidR="001241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There results suggest that CBG possesses geroprotective properties, supporting its potential as a natural compound for </w:t>
      </w:r>
      <w:r w:rsidR="00546B0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promoting </w:t>
      </w:r>
      <w:r w:rsidR="007C27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healthy ageing.</w:t>
      </w:r>
    </w:p>
    <w:p w14:paraId="404838BB" w14:textId="77777777" w:rsidR="00A04B8D" w:rsidRDefault="00A04B8D" w:rsidP="00AE3E6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3AF6E552" w14:textId="51FD6CDD" w:rsidR="00355B83" w:rsidRDefault="00C315D2" w:rsidP="00355B8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D6E388F" w14:textId="165B2652" w:rsidR="00113BB7" w:rsidRPr="00BF0DCF" w:rsidRDefault="00355B83" w:rsidP="00BF0DCF">
      <w:pPr>
        <w:pStyle w:val="EndNoteBibliography"/>
        <w:ind w:left="720" w:hanging="720"/>
        <w:rPr>
          <w:rFonts w:ascii="Arial" w:eastAsia="Calibri" w:hAnsi="Arial" w:cs="Calibri"/>
          <w:bCs/>
          <w:noProof w:val="0"/>
          <w:kern w:val="0"/>
          <w:sz w:val="16"/>
          <w:szCs w:val="16"/>
          <w:lang w:val="en-AU"/>
          <w14:ligatures w14:val="none"/>
        </w:rPr>
      </w:pPr>
      <w:r w:rsidRPr="00BF0DCF">
        <w:rPr>
          <w:rFonts w:ascii="Arial" w:eastAsia="Calibri" w:hAnsi="Arial" w:cs="Calibri"/>
          <w:bCs/>
          <w:noProof w:val="0"/>
          <w:kern w:val="0"/>
          <w:sz w:val="16"/>
          <w:szCs w:val="16"/>
          <w:lang w:val="en-AU"/>
          <w14:ligatures w14:val="none"/>
        </w:rPr>
        <w:fldChar w:fldCharType="begin"/>
      </w:r>
      <w:r w:rsidRPr="00BF0DCF">
        <w:rPr>
          <w:rFonts w:ascii="Arial" w:eastAsia="Calibri" w:hAnsi="Arial" w:cs="Calibri"/>
          <w:bCs/>
          <w:noProof w:val="0"/>
          <w:kern w:val="0"/>
          <w:sz w:val="16"/>
          <w:szCs w:val="16"/>
          <w:lang w:val="en-AU"/>
          <w14:ligatures w14:val="none"/>
        </w:rPr>
        <w:instrText xml:space="preserve"> ADDIN EN.REFLIST </w:instrText>
      </w:r>
      <w:r w:rsidRPr="00BF0DCF">
        <w:rPr>
          <w:rFonts w:ascii="Arial" w:eastAsia="Calibri" w:hAnsi="Arial" w:cs="Calibri"/>
          <w:bCs/>
          <w:noProof w:val="0"/>
          <w:kern w:val="0"/>
          <w:sz w:val="16"/>
          <w:szCs w:val="16"/>
          <w:lang w:val="en-AU"/>
          <w14:ligatures w14:val="none"/>
        </w:rPr>
        <w:fldChar w:fldCharType="separate"/>
      </w:r>
      <w:r w:rsidR="00A23226" w:rsidRPr="00BF0DCF">
        <w:rPr>
          <w:rFonts w:ascii="Arial" w:eastAsia="Calibri" w:hAnsi="Arial" w:cs="Calibri"/>
          <w:bCs/>
          <w:noProof w:val="0"/>
          <w:kern w:val="0"/>
          <w:sz w:val="16"/>
          <w:szCs w:val="16"/>
          <w:lang w:val="en-AU"/>
          <w14:ligatures w14:val="none"/>
        </w:rPr>
        <w:t xml:space="preserve">Li, S., Li, W., Malhi, N. K., Huang, J., Li, Q., Zhou, Z., Wang, R., Peng, J., Yin, T., &amp; Wang, H. (2024). Cannabigerol (CBG): A Comprehensive Review of Its Molecular Mechanisms and Therapeutic Potential. Molecules, 29(22). </w:t>
      </w:r>
      <w:hyperlink r:id="rId8" w:history="1">
        <w:r w:rsidR="00A23226" w:rsidRPr="00BF0DCF">
          <w:rPr>
            <w:rFonts w:ascii="Arial" w:eastAsia="Calibri" w:hAnsi="Arial" w:cs="Calibri"/>
            <w:bCs/>
            <w:noProof w:val="0"/>
            <w:kern w:val="0"/>
            <w:sz w:val="16"/>
            <w:szCs w:val="16"/>
            <w:lang w:val="en-AU"/>
            <w14:ligatures w14:val="none"/>
          </w:rPr>
          <w:t>https://doi.org/10.3390/molecules29225471</w:t>
        </w:r>
      </w:hyperlink>
      <w:r w:rsidR="00A23226" w:rsidRPr="00BF0DCF">
        <w:rPr>
          <w:rFonts w:ascii="Arial" w:eastAsia="Calibri" w:hAnsi="Arial" w:cs="Calibri"/>
          <w:bCs/>
          <w:noProof w:val="0"/>
          <w:kern w:val="0"/>
          <w:sz w:val="16"/>
          <w:szCs w:val="16"/>
          <w:lang w:val="en-AU"/>
          <w14:ligatures w14:val="none"/>
        </w:rPr>
        <w:t xml:space="preserve"> </w:t>
      </w:r>
      <w:r w:rsidRPr="00BF0DCF">
        <w:rPr>
          <w:rFonts w:ascii="Arial" w:eastAsia="Calibri" w:hAnsi="Arial" w:cs="Calibri"/>
          <w:bCs/>
          <w:noProof w:val="0"/>
          <w:kern w:val="0"/>
          <w:sz w:val="16"/>
          <w:szCs w:val="16"/>
          <w:lang w:val="en-AU"/>
          <w14:ligatures w14:val="none"/>
        </w:rPr>
        <w:fldChar w:fldCharType="end"/>
      </w:r>
    </w:p>
    <w:sectPr w:rsidR="00113BB7" w:rsidRPr="00BF0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a2pdffvyfazvkee25dxvax0fffpvfre5a9w&quot;&gt;My EndNote Library&lt;record-ids&gt;&lt;item&gt;1133&lt;/item&gt;&lt;/record-ids&gt;&lt;/item&gt;&lt;/Libraries&gt;"/>
  </w:docVars>
  <w:rsids>
    <w:rsidRoot w:val="00C315D2"/>
    <w:rsid w:val="00053F1B"/>
    <w:rsid w:val="00064FD6"/>
    <w:rsid w:val="00070DA9"/>
    <w:rsid w:val="00092C48"/>
    <w:rsid w:val="000A21FF"/>
    <w:rsid w:val="000B34DE"/>
    <w:rsid w:val="000B5B11"/>
    <w:rsid w:val="000D1B5E"/>
    <w:rsid w:val="000E25F1"/>
    <w:rsid w:val="000E7A8E"/>
    <w:rsid w:val="001057A2"/>
    <w:rsid w:val="00107368"/>
    <w:rsid w:val="00111E6A"/>
    <w:rsid w:val="00113BB7"/>
    <w:rsid w:val="001217D6"/>
    <w:rsid w:val="00124187"/>
    <w:rsid w:val="001308BD"/>
    <w:rsid w:val="001349D0"/>
    <w:rsid w:val="0013763D"/>
    <w:rsid w:val="001452A9"/>
    <w:rsid w:val="00152F62"/>
    <w:rsid w:val="00173314"/>
    <w:rsid w:val="00174768"/>
    <w:rsid w:val="001A60A4"/>
    <w:rsid w:val="001D20EE"/>
    <w:rsid w:val="001D545F"/>
    <w:rsid w:val="001D63C4"/>
    <w:rsid w:val="001E71A2"/>
    <w:rsid w:val="001F0DA7"/>
    <w:rsid w:val="001F3D22"/>
    <w:rsid w:val="001F59EE"/>
    <w:rsid w:val="00200B44"/>
    <w:rsid w:val="002017E6"/>
    <w:rsid w:val="00221785"/>
    <w:rsid w:val="0023615F"/>
    <w:rsid w:val="00262CA7"/>
    <w:rsid w:val="00264137"/>
    <w:rsid w:val="00274B91"/>
    <w:rsid w:val="00280B60"/>
    <w:rsid w:val="00294059"/>
    <w:rsid w:val="002B4FB4"/>
    <w:rsid w:val="002D18FC"/>
    <w:rsid w:val="0030154E"/>
    <w:rsid w:val="00311A73"/>
    <w:rsid w:val="00312032"/>
    <w:rsid w:val="003206E4"/>
    <w:rsid w:val="0032259A"/>
    <w:rsid w:val="00323D8D"/>
    <w:rsid w:val="00332DF1"/>
    <w:rsid w:val="00332F0C"/>
    <w:rsid w:val="00341CE2"/>
    <w:rsid w:val="00355B83"/>
    <w:rsid w:val="00360471"/>
    <w:rsid w:val="00367285"/>
    <w:rsid w:val="00375A56"/>
    <w:rsid w:val="00376AD9"/>
    <w:rsid w:val="00390D4B"/>
    <w:rsid w:val="00397D7C"/>
    <w:rsid w:val="00397DD1"/>
    <w:rsid w:val="003A4EDE"/>
    <w:rsid w:val="003A6D5C"/>
    <w:rsid w:val="003D1561"/>
    <w:rsid w:val="003F6364"/>
    <w:rsid w:val="00401B87"/>
    <w:rsid w:val="00406C95"/>
    <w:rsid w:val="00407978"/>
    <w:rsid w:val="00453CB3"/>
    <w:rsid w:val="00461950"/>
    <w:rsid w:val="00461B2F"/>
    <w:rsid w:val="0048069C"/>
    <w:rsid w:val="004922FF"/>
    <w:rsid w:val="00496F65"/>
    <w:rsid w:val="004A51B6"/>
    <w:rsid w:val="004C3AE4"/>
    <w:rsid w:val="004C4F63"/>
    <w:rsid w:val="004F0EF2"/>
    <w:rsid w:val="00503293"/>
    <w:rsid w:val="00510CF8"/>
    <w:rsid w:val="0052166F"/>
    <w:rsid w:val="00537610"/>
    <w:rsid w:val="00540AAC"/>
    <w:rsid w:val="0054385C"/>
    <w:rsid w:val="00546B0A"/>
    <w:rsid w:val="00561FD5"/>
    <w:rsid w:val="00572205"/>
    <w:rsid w:val="00575A29"/>
    <w:rsid w:val="005765DA"/>
    <w:rsid w:val="005A3A85"/>
    <w:rsid w:val="005B003E"/>
    <w:rsid w:val="005C478F"/>
    <w:rsid w:val="005C4C9B"/>
    <w:rsid w:val="005D7C78"/>
    <w:rsid w:val="00601754"/>
    <w:rsid w:val="006328A3"/>
    <w:rsid w:val="0064256E"/>
    <w:rsid w:val="00642A39"/>
    <w:rsid w:val="0065679D"/>
    <w:rsid w:val="006636C3"/>
    <w:rsid w:val="00664B00"/>
    <w:rsid w:val="006A2F93"/>
    <w:rsid w:val="006A34BE"/>
    <w:rsid w:val="006A4613"/>
    <w:rsid w:val="006D17D9"/>
    <w:rsid w:val="006D5792"/>
    <w:rsid w:val="006D6B6F"/>
    <w:rsid w:val="006F3F1C"/>
    <w:rsid w:val="007141F2"/>
    <w:rsid w:val="007321BF"/>
    <w:rsid w:val="00736E2A"/>
    <w:rsid w:val="007561D8"/>
    <w:rsid w:val="00760093"/>
    <w:rsid w:val="007810F4"/>
    <w:rsid w:val="00781353"/>
    <w:rsid w:val="00783D88"/>
    <w:rsid w:val="00784BBA"/>
    <w:rsid w:val="00792BF0"/>
    <w:rsid w:val="00795378"/>
    <w:rsid w:val="00796206"/>
    <w:rsid w:val="007A431F"/>
    <w:rsid w:val="007A77ED"/>
    <w:rsid w:val="007C278A"/>
    <w:rsid w:val="007C367E"/>
    <w:rsid w:val="007C43B8"/>
    <w:rsid w:val="007F0B51"/>
    <w:rsid w:val="008010B9"/>
    <w:rsid w:val="008071C5"/>
    <w:rsid w:val="0080778A"/>
    <w:rsid w:val="008316B5"/>
    <w:rsid w:val="00837D10"/>
    <w:rsid w:val="00837E07"/>
    <w:rsid w:val="0088721B"/>
    <w:rsid w:val="0089445C"/>
    <w:rsid w:val="00896E2A"/>
    <w:rsid w:val="008A0E52"/>
    <w:rsid w:val="008B55D7"/>
    <w:rsid w:val="008D7370"/>
    <w:rsid w:val="00902B9B"/>
    <w:rsid w:val="00902D75"/>
    <w:rsid w:val="00906D34"/>
    <w:rsid w:val="009140FB"/>
    <w:rsid w:val="00923427"/>
    <w:rsid w:val="00933DC9"/>
    <w:rsid w:val="00933E98"/>
    <w:rsid w:val="00936D4C"/>
    <w:rsid w:val="00944887"/>
    <w:rsid w:val="009523F9"/>
    <w:rsid w:val="009650DF"/>
    <w:rsid w:val="00965D8A"/>
    <w:rsid w:val="00974A13"/>
    <w:rsid w:val="00990996"/>
    <w:rsid w:val="00991CE2"/>
    <w:rsid w:val="009A406B"/>
    <w:rsid w:val="009B1CBB"/>
    <w:rsid w:val="009F690F"/>
    <w:rsid w:val="00A04B8D"/>
    <w:rsid w:val="00A0516D"/>
    <w:rsid w:val="00A1509C"/>
    <w:rsid w:val="00A23226"/>
    <w:rsid w:val="00A52457"/>
    <w:rsid w:val="00A62925"/>
    <w:rsid w:val="00A87E91"/>
    <w:rsid w:val="00A92E4E"/>
    <w:rsid w:val="00AA4291"/>
    <w:rsid w:val="00AA5111"/>
    <w:rsid w:val="00AD411A"/>
    <w:rsid w:val="00AD5EB3"/>
    <w:rsid w:val="00AE062F"/>
    <w:rsid w:val="00AE10FF"/>
    <w:rsid w:val="00AE3E6A"/>
    <w:rsid w:val="00AF4A05"/>
    <w:rsid w:val="00AF7242"/>
    <w:rsid w:val="00B0468D"/>
    <w:rsid w:val="00B4721D"/>
    <w:rsid w:val="00B529F9"/>
    <w:rsid w:val="00B5765C"/>
    <w:rsid w:val="00B76C90"/>
    <w:rsid w:val="00B8473A"/>
    <w:rsid w:val="00BA6EAD"/>
    <w:rsid w:val="00BE2448"/>
    <w:rsid w:val="00BF0DCF"/>
    <w:rsid w:val="00BF6161"/>
    <w:rsid w:val="00BF7104"/>
    <w:rsid w:val="00C00324"/>
    <w:rsid w:val="00C21815"/>
    <w:rsid w:val="00C22BCE"/>
    <w:rsid w:val="00C25CE8"/>
    <w:rsid w:val="00C315D2"/>
    <w:rsid w:val="00C318BC"/>
    <w:rsid w:val="00C353D8"/>
    <w:rsid w:val="00C70AE7"/>
    <w:rsid w:val="00C76B0B"/>
    <w:rsid w:val="00C9020A"/>
    <w:rsid w:val="00CB4A97"/>
    <w:rsid w:val="00CD1160"/>
    <w:rsid w:val="00CD2CBD"/>
    <w:rsid w:val="00CE35BA"/>
    <w:rsid w:val="00CE644A"/>
    <w:rsid w:val="00CF5A91"/>
    <w:rsid w:val="00D01F85"/>
    <w:rsid w:val="00D0287B"/>
    <w:rsid w:val="00D02BB1"/>
    <w:rsid w:val="00D064C0"/>
    <w:rsid w:val="00D2321E"/>
    <w:rsid w:val="00D45A74"/>
    <w:rsid w:val="00D611C1"/>
    <w:rsid w:val="00D7428F"/>
    <w:rsid w:val="00D80529"/>
    <w:rsid w:val="00D92376"/>
    <w:rsid w:val="00DF261F"/>
    <w:rsid w:val="00DF6716"/>
    <w:rsid w:val="00E04162"/>
    <w:rsid w:val="00E30899"/>
    <w:rsid w:val="00E415EB"/>
    <w:rsid w:val="00E43CC0"/>
    <w:rsid w:val="00E45C31"/>
    <w:rsid w:val="00E505FE"/>
    <w:rsid w:val="00E54B95"/>
    <w:rsid w:val="00E57640"/>
    <w:rsid w:val="00E62990"/>
    <w:rsid w:val="00E6527A"/>
    <w:rsid w:val="00E71629"/>
    <w:rsid w:val="00E7371F"/>
    <w:rsid w:val="00E73A8E"/>
    <w:rsid w:val="00E771FF"/>
    <w:rsid w:val="00E83184"/>
    <w:rsid w:val="00EC3746"/>
    <w:rsid w:val="00EF4D18"/>
    <w:rsid w:val="00F022CD"/>
    <w:rsid w:val="00F43ABA"/>
    <w:rsid w:val="00F539FB"/>
    <w:rsid w:val="00F85528"/>
    <w:rsid w:val="00FA0910"/>
    <w:rsid w:val="00FC007F"/>
    <w:rsid w:val="00FC4537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093"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355B83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55B83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55B83"/>
    <w:pPr>
      <w:spacing w:line="240" w:lineRule="auto"/>
      <w:jc w:val="both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55B83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355B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olecules2922547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Zhizhen Wang</cp:lastModifiedBy>
  <cp:revision>195</cp:revision>
  <dcterms:created xsi:type="dcterms:W3CDTF">2025-03-11T02:17:00Z</dcterms:created>
  <dcterms:modified xsi:type="dcterms:W3CDTF">2025-05-29T03:44:00Z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