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734D42C1" w:rsidR="00C315D2" w:rsidRPr="00C315D2" w:rsidRDefault="00BA202A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Integrating Caregiver Perspective Towards </w:t>
      </w:r>
      <w:proofErr w:type="gram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The</w:t>
      </w:r>
      <w:proofErr w:type="gramEnd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Next Generation </w:t>
      </w:r>
      <w:proofErr w:type="gram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Of</w:t>
      </w:r>
      <w:proofErr w:type="gramEnd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Dispersible Tablets</w:t>
      </w:r>
      <w:r w:rsidR="00851F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proofErr w:type="gramStart"/>
      <w:r w:rsidR="00851F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For</w:t>
      </w:r>
      <w:proofErr w:type="gramEnd"/>
      <w:r w:rsidR="00851F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proofErr w:type="gramStart"/>
      <w:r w:rsidR="00851F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The</w:t>
      </w:r>
      <w:proofErr w:type="gramEnd"/>
      <w:r w:rsidR="00851F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Youngest Patients</w:t>
      </w:r>
    </w:p>
    <w:p w14:paraId="79141BD9" w14:textId="6E3B1CF1" w:rsidR="00C315D2" w:rsidRPr="00C315D2" w:rsidRDefault="00EB5EE1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AD3E1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Nicole Sheena Kaneria</w:t>
      </w:r>
      <w:r w:rsidR="00C315D2" w:rsidRPr="00AD3E1C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E47A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Andrew J Edwards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4E47A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Mine Orlu</w:t>
      </w:r>
      <w:r w:rsidR="009532E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9532E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9532E2" w:rsidRPr="00AD3E1C">
        <w:rPr>
          <w:rFonts w:ascii="Arial" w:eastAsia="Calibri" w:hAnsi="Arial" w:cs="Calibri"/>
          <w:bCs/>
          <w:kern w:val="0"/>
          <w:sz w:val="20"/>
          <w:szCs w:val="20"/>
          <w:u w:val="single"/>
          <w14:ligatures w14:val="none"/>
        </w:rPr>
        <w:t>Catherine Tuleu</w:t>
      </w:r>
      <w:r w:rsidR="009532E2" w:rsidRPr="00AD3E1C">
        <w:rPr>
          <w:rFonts w:ascii="Arial" w:eastAsia="Calibri" w:hAnsi="Arial" w:cs="Calibri"/>
          <w:bCs/>
          <w:kern w:val="0"/>
          <w:sz w:val="20"/>
          <w:szCs w:val="20"/>
          <w:u w:val="single"/>
          <w:vertAlign w:val="superscript"/>
          <w14:ligatures w14:val="none"/>
        </w:rPr>
        <w:t>1</w:t>
      </w:r>
    </w:p>
    <w:p w14:paraId="137D4547" w14:textId="71E1D20B" w:rsidR="00C315D2" w:rsidRPr="00C315D2" w:rsidRDefault="00887411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Pharmacy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College London</w:t>
      </w:r>
      <w:r w:rsidR="00BB110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(UCL)</w:t>
      </w:r>
      <w:r w:rsidR="00A155FF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7F2BE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London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7F2BE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United </w:t>
      </w:r>
      <w:proofErr w:type="gramStart"/>
      <w:r w:rsidR="007F2BE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Kingdom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47D76891" w14:textId="16921E43" w:rsidR="00C315D2" w:rsidRPr="00C315D2" w:rsidRDefault="00CB6472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Drug Product Development,</w:t>
      </w:r>
      <w:r w:rsidR="003E09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R&amp;D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95F2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GlaxoSmithKline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95F2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London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D95F2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United Kingdom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4DB6BF75" w14:textId="7F090995" w:rsidR="00945D81" w:rsidRDefault="00B8473A" w:rsidP="00D65F8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65F8A" w:rsidRPr="00D65F8A">
        <w:rPr>
          <w:rFonts w:ascii="Arial" w:hAnsi="Arial" w:cs="Arial"/>
          <w:sz w:val="20"/>
          <w:szCs w:val="20"/>
        </w:rPr>
        <w:t>Neonates, infants and toddlers are the most challenging paediatric subsets to cater for when developing an acceptable dosage form</w:t>
      </w:r>
      <w:r w:rsidR="004736EE">
        <w:rPr>
          <w:rFonts w:ascii="Arial" w:hAnsi="Arial" w:cs="Arial"/>
          <w:sz w:val="20"/>
          <w:szCs w:val="20"/>
        </w:rPr>
        <w:t xml:space="preserve"> </w:t>
      </w:r>
      <w:r w:rsidR="004736EE">
        <w:rPr>
          <w:rFonts w:ascii="Arial" w:hAnsi="Arial" w:cs="Arial"/>
          <w:sz w:val="20"/>
          <w:szCs w:val="20"/>
        </w:rPr>
        <w:fldChar w:fldCharType="begin"/>
      </w:r>
      <w:r w:rsidR="004736EE">
        <w:rPr>
          <w:rFonts w:ascii="Arial" w:hAnsi="Arial" w:cs="Arial"/>
          <w:sz w:val="20"/>
          <w:szCs w:val="20"/>
        </w:rPr>
        <w:instrText xml:space="preserve"> ADDIN EN.CITE &lt;EndNote&gt;&lt;Cite&gt;&lt;Author&gt;Kaneria&lt;/Author&gt;&lt;Year&gt;2022&lt;/Year&gt;&lt;IDText&gt;Opportunities for enteral drug delivery for neonates, infants, and toddlers: a critical exploration&lt;/IDText&gt;&lt;DisplayText&gt;(1)&lt;/DisplayText&gt;&lt;record&gt;&lt;dates&gt;&lt;pub-dates&gt;&lt;date&gt;2022/05/04&lt;/date&gt;&lt;/pub-dates&gt;&lt;year&gt;2022&lt;/year&gt;&lt;/dates&gt;&lt;urls&gt;&lt;related-urls&gt;&lt;url&gt;https://doi.org/10.1080/17425247.2022.2064449&lt;/url&gt;&lt;/related-urls&gt;&lt;/urls&gt;&lt;isbn&gt;1742-5247&lt;/isbn&gt;&lt;titles&gt;&lt;title&gt;Opportunities for enteral drug delivery for neonates, infants, and toddlers: a critical exploration&lt;/title&gt;&lt;secondary-title&gt;Expert Opinion on Drug Delivery&lt;/secondary-title&gt;&lt;/titles&gt;&lt;pages&gt;475-519&lt;/pages&gt;&lt;number&gt;5&lt;/number&gt;&lt;contributors&gt;&lt;authors&gt;&lt;author&gt;Kaneria, Nicole Sheena&lt;/author&gt;&lt;author&gt;Tuleu, Catherine&lt;/author&gt;&lt;author&gt;Ernest, Terry&lt;/author&gt;&lt;/authors&gt;&lt;/contributors&gt;&lt;added-date format="utc"&gt;1656452475&lt;/added-date&gt;&lt;ref-type name="Journal Article"&gt;17&lt;/ref-type&gt;&lt;rec-number&gt;288&lt;/rec-number&gt;&lt;publisher&gt;Taylor &amp;amp; Francis&lt;/publisher&gt;&lt;last-updated-date format="utc"&gt;1656452481&lt;/last-updated-date&gt;&lt;electronic-resource-num&gt;10.1080/17425247.2022.2064449&lt;/electronic-resource-num&gt;&lt;volume&gt;19&lt;/volume&gt;&lt;/record&gt;&lt;/Cite&gt;&lt;/EndNote&gt;</w:instrText>
      </w:r>
      <w:r w:rsidR="004736EE">
        <w:rPr>
          <w:rFonts w:ascii="Arial" w:hAnsi="Arial" w:cs="Arial"/>
          <w:sz w:val="20"/>
          <w:szCs w:val="20"/>
        </w:rPr>
        <w:fldChar w:fldCharType="separate"/>
      </w:r>
      <w:r w:rsidR="004736EE">
        <w:rPr>
          <w:rFonts w:ascii="Arial" w:hAnsi="Arial" w:cs="Arial"/>
          <w:noProof/>
          <w:sz w:val="20"/>
          <w:szCs w:val="20"/>
        </w:rPr>
        <w:t>(1)</w:t>
      </w:r>
      <w:r w:rsidR="004736EE">
        <w:rPr>
          <w:rFonts w:ascii="Arial" w:hAnsi="Arial" w:cs="Arial"/>
          <w:sz w:val="20"/>
          <w:szCs w:val="20"/>
        </w:rPr>
        <w:fldChar w:fldCharType="end"/>
      </w:r>
      <w:r w:rsidR="00D65F8A" w:rsidRPr="00D65F8A">
        <w:rPr>
          <w:rFonts w:ascii="Arial" w:hAnsi="Arial" w:cs="Arial"/>
          <w:sz w:val="20"/>
          <w:szCs w:val="20"/>
        </w:rPr>
        <w:t>. Previous investigation with parental involvement showed positive attitudes towards dispersible tablets (DTs) as an alternative option to</w:t>
      </w:r>
      <w:r w:rsidR="00392C90">
        <w:rPr>
          <w:rFonts w:ascii="Arial" w:hAnsi="Arial" w:cs="Arial"/>
          <w:sz w:val="20"/>
          <w:szCs w:val="20"/>
        </w:rPr>
        <w:t xml:space="preserve"> oral dosage forms such as</w:t>
      </w:r>
      <w:r w:rsidR="00D65F8A" w:rsidRPr="00D65F8A">
        <w:rPr>
          <w:rFonts w:ascii="Arial" w:hAnsi="Arial" w:cs="Arial"/>
          <w:sz w:val="20"/>
          <w:szCs w:val="20"/>
        </w:rPr>
        <w:t xml:space="preserve"> syrups. </w:t>
      </w:r>
      <w:r w:rsidR="00F0338E">
        <w:rPr>
          <w:rFonts w:ascii="Arial" w:hAnsi="Arial" w:cs="Arial"/>
          <w:sz w:val="20"/>
          <w:szCs w:val="20"/>
        </w:rPr>
        <w:t>An e</w:t>
      </w:r>
      <w:r w:rsidR="00D65F8A" w:rsidRPr="00D65F8A">
        <w:rPr>
          <w:rFonts w:ascii="Arial" w:hAnsi="Arial" w:cs="Arial"/>
          <w:sz w:val="20"/>
          <w:szCs w:val="20"/>
        </w:rPr>
        <w:t xml:space="preserve">nhanced non-proprietary </w:t>
      </w:r>
      <w:r w:rsidR="00B55D22">
        <w:rPr>
          <w:rFonts w:ascii="Arial" w:hAnsi="Arial" w:cs="Arial"/>
          <w:sz w:val="20"/>
          <w:szCs w:val="20"/>
        </w:rPr>
        <w:t>DT</w:t>
      </w:r>
      <w:r w:rsidR="00D65F8A" w:rsidRPr="00D65F8A">
        <w:rPr>
          <w:rFonts w:ascii="Arial" w:hAnsi="Arial" w:cs="Arial"/>
          <w:sz w:val="20"/>
          <w:szCs w:val="20"/>
        </w:rPr>
        <w:t xml:space="preserve"> prototype that swell</w:t>
      </w:r>
      <w:r w:rsidR="000D1260">
        <w:rPr>
          <w:rFonts w:ascii="Arial" w:hAnsi="Arial" w:cs="Arial"/>
          <w:sz w:val="20"/>
          <w:szCs w:val="20"/>
        </w:rPr>
        <w:t>s</w:t>
      </w:r>
      <w:r w:rsidR="00D65F8A" w:rsidRPr="00D65F8A">
        <w:rPr>
          <w:rFonts w:ascii="Arial" w:hAnsi="Arial" w:cs="Arial"/>
          <w:sz w:val="20"/>
          <w:szCs w:val="20"/>
        </w:rPr>
        <w:t xml:space="preserve"> as </w:t>
      </w:r>
      <w:r w:rsidR="000D1260">
        <w:rPr>
          <w:rFonts w:ascii="Arial" w:hAnsi="Arial" w:cs="Arial"/>
          <w:sz w:val="20"/>
          <w:szCs w:val="20"/>
        </w:rPr>
        <w:t>it is</w:t>
      </w:r>
      <w:r w:rsidR="00D65F8A" w:rsidRPr="00D65F8A">
        <w:rPr>
          <w:rFonts w:ascii="Arial" w:hAnsi="Arial" w:cs="Arial"/>
          <w:sz w:val="20"/>
          <w:szCs w:val="20"/>
        </w:rPr>
        <w:t xml:space="preserve"> hydrated, to make the administration, swallowability and palatab</w:t>
      </w:r>
      <w:r w:rsidR="00E05D0F">
        <w:rPr>
          <w:rFonts w:ascii="Arial" w:hAnsi="Arial" w:cs="Arial"/>
          <w:sz w:val="20"/>
          <w:szCs w:val="20"/>
        </w:rPr>
        <w:t>i</w:t>
      </w:r>
      <w:r w:rsidR="00D65F8A" w:rsidRPr="00D65F8A">
        <w:rPr>
          <w:rFonts w:ascii="Arial" w:hAnsi="Arial" w:cs="Arial"/>
          <w:sz w:val="20"/>
          <w:szCs w:val="20"/>
        </w:rPr>
        <w:t>l</w:t>
      </w:r>
      <w:r w:rsidR="00E05D0F">
        <w:rPr>
          <w:rFonts w:ascii="Arial" w:hAnsi="Arial" w:cs="Arial"/>
          <w:sz w:val="20"/>
          <w:szCs w:val="20"/>
        </w:rPr>
        <w:t>it</w:t>
      </w:r>
      <w:r w:rsidR="00D65F8A" w:rsidRPr="00D65F8A">
        <w:rPr>
          <w:rFonts w:ascii="Arial" w:hAnsi="Arial" w:cs="Arial"/>
          <w:sz w:val="20"/>
          <w:szCs w:val="20"/>
        </w:rPr>
        <w:t xml:space="preserve">y easier </w:t>
      </w:r>
      <w:r w:rsidR="000D1260">
        <w:rPr>
          <w:rFonts w:ascii="Arial" w:hAnsi="Arial" w:cs="Arial"/>
          <w:sz w:val="20"/>
          <w:szCs w:val="20"/>
        </w:rPr>
        <w:t>is</w:t>
      </w:r>
      <w:r w:rsidR="0020562A">
        <w:rPr>
          <w:rFonts w:ascii="Arial" w:hAnsi="Arial" w:cs="Arial"/>
          <w:sz w:val="20"/>
          <w:szCs w:val="20"/>
        </w:rPr>
        <w:t xml:space="preserve"> proposed in this study</w:t>
      </w:r>
      <w:r w:rsidR="00D65F8A" w:rsidRPr="00D65F8A">
        <w:rPr>
          <w:rFonts w:ascii="Arial" w:hAnsi="Arial" w:cs="Arial"/>
          <w:sz w:val="20"/>
          <w:szCs w:val="20"/>
        </w:rPr>
        <w:t>.</w:t>
      </w:r>
    </w:p>
    <w:p w14:paraId="0A4119A3" w14:textId="600B2C59" w:rsidR="00E10AF0" w:rsidRPr="00E10AF0" w:rsidRDefault="00807CAE" w:rsidP="00E10AF0">
      <w:pPr>
        <w:contextualSpacing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Aim: t</w:t>
      </w:r>
      <w:r w:rsidR="00E571C2">
        <w:rPr>
          <w:rFonts w:ascii="Arial" w:hAnsi="Arial" w:cs="Arial"/>
          <w:sz w:val="20"/>
          <w:szCs w:val="20"/>
          <w:highlight w:val="white"/>
        </w:rPr>
        <w:t>o</w:t>
      </w:r>
      <w:r w:rsidR="00E10AF0" w:rsidRPr="00E10AF0">
        <w:rPr>
          <w:rFonts w:ascii="Arial" w:hAnsi="Arial" w:cs="Arial"/>
          <w:sz w:val="20"/>
          <w:szCs w:val="20"/>
          <w:highlight w:val="white"/>
        </w:rPr>
        <w:t xml:space="preserve"> pilot a study</w:t>
      </w:r>
      <w:r w:rsidR="00BB05D7">
        <w:rPr>
          <w:rFonts w:ascii="Arial" w:hAnsi="Arial" w:cs="Arial"/>
          <w:sz w:val="20"/>
          <w:szCs w:val="20"/>
          <w:highlight w:val="white"/>
        </w:rPr>
        <w:t xml:space="preserve"> (</w:t>
      </w:r>
      <w:r w:rsidR="00BB05D7" w:rsidRPr="008C0B22">
        <w:rPr>
          <w:rFonts w:ascii="Arial" w:hAnsi="Arial" w:cs="Arial"/>
          <w:bCs/>
          <w:i/>
          <w:iCs/>
          <w:sz w:val="20"/>
          <w:szCs w:val="20"/>
        </w:rPr>
        <w:t xml:space="preserve">UCL Research Ethics Committee Project ID Number: </w:t>
      </w:r>
      <w:r w:rsidR="00BB05D7" w:rsidRPr="008C0B22">
        <w:rPr>
          <w:rFonts w:ascii="Arial" w:hAnsi="Arial" w:cs="Arial"/>
          <w:bCs/>
          <w:i/>
          <w:iCs/>
          <w:color w:val="333333"/>
          <w:sz w:val="20"/>
          <w:szCs w:val="20"/>
        </w:rPr>
        <w:t>26205/002</w:t>
      </w:r>
      <w:r w:rsidR="00BB05D7">
        <w:rPr>
          <w:rFonts w:ascii="Arial" w:hAnsi="Arial" w:cs="Arial"/>
          <w:bCs/>
          <w:color w:val="333333"/>
          <w:sz w:val="20"/>
          <w:szCs w:val="20"/>
        </w:rPr>
        <w:t>)</w:t>
      </w:r>
      <w:r w:rsidR="00E10AF0" w:rsidRPr="00E10AF0">
        <w:rPr>
          <w:rFonts w:ascii="Arial" w:hAnsi="Arial" w:cs="Arial"/>
          <w:sz w:val="20"/>
          <w:szCs w:val="20"/>
          <w:highlight w:val="white"/>
        </w:rPr>
        <w:t xml:space="preserve"> that will: </w:t>
      </w:r>
    </w:p>
    <w:p w14:paraId="7E813F94" w14:textId="76C127AC" w:rsidR="00E10AF0" w:rsidRPr="00E10AF0" w:rsidRDefault="00E10AF0" w:rsidP="00E10AF0">
      <w:pPr>
        <w:contextualSpacing/>
        <w:jc w:val="both"/>
        <w:rPr>
          <w:rFonts w:ascii="Arial" w:hAnsi="Arial" w:cs="Arial"/>
          <w:sz w:val="20"/>
          <w:szCs w:val="20"/>
        </w:rPr>
      </w:pPr>
      <w:r w:rsidRPr="00E10AF0">
        <w:rPr>
          <w:rFonts w:ascii="Arial" w:hAnsi="Arial" w:cs="Arial"/>
          <w:sz w:val="20"/>
          <w:szCs w:val="20"/>
          <w:highlight w:val="white"/>
        </w:rPr>
        <w:t xml:space="preserve">1. </w:t>
      </w:r>
      <w:r w:rsidR="001E35B6">
        <w:rPr>
          <w:rFonts w:ascii="Arial" w:hAnsi="Arial" w:cs="Arial"/>
          <w:sz w:val="20"/>
          <w:szCs w:val="20"/>
          <w:highlight w:val="white"/>
        </w:rPr>
        <w:t>Assess</w:t>
      </w:r>
      <w:r w:rsidRPr="00E10AF0">
        <w:rPr>
          <w:rFonts w:ascii="Arial" w:hAnsi="Arial" w:cs="Arial"/>
          <w:sz w:val="20"/>
          <w:szCs w:val="20"/>
          <w:highlight w:val="white"/>
        </w:rPr>
        <w:t xml:space="preserve"> </w:t>
      </w:r>
      <w:r w:rsidR="00C011CE">
        <w:rPr>
          <w:rFonts w:ascii="Arial" w:hAnsi="Arial" w:cs="Arial"/>
          <w:sz w:val="20"/>
          <w:szCs w:val="20"/>
          <w:highlight w:val="white"/>
        </w:rPr>
        <w:t>dose</w:t>
      </w:r>
      <w:r w:rsidRPr="00E10AF0">
        <w:rPr>
          <w:rFonts w:ascii="Arial" w:hAnsi="Arial" w:cs="Arial"/>
          <w:sz w:val="20"/>
          <w:szCs w:val="20"/>
          <w:highlight w:val="white"/>
        </w:rPr>
        <w:t xml:space="preserve"> preparation and simulated ease of administration</w:t>
      </w:r>
      <w:r w:rsidR="00237B5F" w:rsidRPr="00237B5F">
        <w:rPr>
          <w:rFonts w:ascii="Arial" w:hAnsi="Arial" w:cs="Arial"/>
          <w:sz w:val="20"/>
          <w:szCs w:val="20"/>
          <w:highlight w:val="white"/>
        </w:rPr>
        <w:t xml:space="preserve"> </w:t>
      </w:r>
      <w:r w:rsidR="00237B5F">
        <w:rPr>
          <w:rFonts w:ascii="Arial" w:hAnsi="Arial" w:cs="Arial"/>
          <w:sz w:val="20"/>
          <w:szCs w:val="20"/>
          <w:highlight w:val="white"/>
        </w:rPr>
        <w:t xml:space="preserve">from </w:t>
      </w:r>
      <w:r w:rsidR="00B55D22">
        <w:rPr>
          <w:rFonts w:ascii="Arial" w:hAnsi="Arial" w:cs="Arial"/>
          <w:sz w:val="20"/>
          <w:szCs w:val="20"/>
          <w:highlight w:val="white"/>
        </w:rPr>
        <w:t>DTs</w:t>
      </w:r>
      <w:r w:rsidRPr="00E10AF0"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E10AF0">
        <w:rPr>
          <w:rFonts w:ascii="Arial" w:hAnsi="Arial" w:cs="Arial"/>
          <w:sz w:val="20"/>
          <w:szCs w:val="20"/>
        </w:rPr>
        <w:t xml:space="preserve">2. </w:t>
      </w:r>
      <w:r w:rsidRPr="00E10AF0">
        <w:rPr>
          <w:rFonts w:ascii="Arial" w:hAnsi="Arial" w:cs="Arial"/>
          <w:sz w:val="20"/>
          <w:szCs w:val="20"/>
          <w:highlight w:val="white"/>
        </w:rPr>
        <w:t xml:space="preserve">Give caregivers hands-on experience with </w:t>
      </w:r>
      <w:r w:rsidR="00A331EB">
        <w:rPr>
          <w:rFonts w:ascii="Arial" w:hAnsi="Arial" w:cs="Arial"/>
          <w:sz w:val="20"/>
          <w:szCs w:val="20"/>
          <w:highlight w:val="white"/>
        </w:rPr>
        <w:t xml:space="preserve">an </w:t>
      </w:r>
      <w:r w:rsidRPr="00E10AF0">
        <w:rPr>
          <w:rFonts w:ascii="Arial" w:hAnsi="Arial" w:cs="Arial"/>
          <w:sz w:val="20"/>
          <w:szCs w:val="20"/>
          <w:highlight w:val="white"/>
        </w:rPr>
        <w:t xml:space="preserve">‘enhanced’ DT formulation prototype to provide a better understanding on the impact of </w:t>
      </w:r>
      <w:r w:rsidR="009337C3">
        <w:rPr>
          <w:rFonts w:ascii="Arial" w:hAnsi="Arial" w:cs="Arial"/>
          <w:sz w:val="20"/>
          <w:szCs w:val="20"/>
          <w:highlight w:val="white"/>
        </w:rPr>
        <w:t>formulation enhancement</w:t>
      </w:r>
      <w:r w:rsidRPr="00E10AF0">
        <w:rPr>
          <w:rFonts w:ascii="Arial" w:hAnsi="Arial" w:cs="Arial"/>
          <w:sz w:val="20"/>
          <w:szCs w:val="20"/>
          <w:highlight w:val="white"/>
        </w:rPr>
        <w:t xml:space="preserve"> and</w:t>
      </w:r>
      <w:r w:rsidR="008A773C"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E10AF0">
        <w:rPr>
          <w:rFonts w:ascii="Arial" w:hAnsi="Arial" w:cs="Arial"/>
          <w:sz w:val="20"/>
          <w:szCs w:val="20"/>
          <w:highlight w:val="white"/>
        </w:rPr>
        <w:t xml:space="preserve">the understanding/familiarity parents have with DTs, on the user experience and </w:t>
      </w:r>
      <w:r w:rsidR="006D5474">
        <w:rPr>
          <w:rFonts w:ascii="Arial" w:hAnsi="Arial" w:cs="Arial"/>
          <w:sz w:val="20"/>
          <w:szCs w:val="20"/>
          <w:highlight w:val="white"/>
        </w:rPr>
        <w:t xml:space="preserve">perceived </w:t>
      </w:r>
      <w:r w:rsidRPr="00E10AF0">
        <w:rPr>
          <w:rFonts w:ascii="Arial" w:hAnsi="Arial" w:cs="Arial"/>
          <w:sz w:val="20"/>
          <w:szCs w:val="20"/>
          <w:highlight w:val="white"/>
        </w:rPr>
        <w:t>acceptability</w:t>
      </w:r>
      <w:r w:rsidR="000D5B40">
        <w:rPr>
          <w:rFonts w:ascii="Arial" w:hAnsi="Arial" w:cs="Arial"/>
          <w:sz w:val="20"/>
          <w:szCs w:val="20"/>
        </w:rPr>
        <w:t>.</w:t>
      </w:r>
    </w:p>
    <w:p w14:paraId="15D93483" w14:textId="6DDF037C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8A3E7FC" w14:textId="27C7409D" w:rsidR="00623BC0" w:rsidRPr="00E119DB" w:rsidRDefault="00C315D2" w:rsidP="00623BC0">
      <w:pPr>
        <w:spacing w:after="0"/>
        <w:contextualSpacing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23BC0" w:rsidRPr="00623BC0">
        <w:rPr>
          <w:rFonts w:ascii="Arial" w:hAnsi="Arial" w:cs="Arial"/>
          <w:i/>
          <w:iCs/>
          <w:sz w:val="20"/>
          <w:szCs w:val="20"/>
        </w:rPr>
        <w:t>Questionnaire:</w:t>
      </w:r>
      <w:r w:rsidR="00623BC0" w:rsidRPr="00623BC0">
        <w:rPr>
          <w:rFonts w:ascii="Arial" w:hAnsi="Arial" w:cs="Arial"/>
          <w:sz w:val="20"/>
          <w:szCs w:val="20"/>
        </w:rPr>
        <w:t xml:space="preserve"> Rating, ranking and comment based questions, </w:t>
      </w:r>
      <w:r w:rsidR="00450079">
        <w:rPr>
          <w:rFonts w:ascii="Arial" w:hAnsi="Arial" w:cs="Arial"/>
          <w:sz w:val="20"/>
          <w:szCs w:val="20"/>
        </w:rPr>
        <w:t>and</w:t>
      </w:r>
      <w:r w:rsidR="00623BC0" w:rsidRPr="00623BC0">
        <w:rPr>
          <w:rFonts w:ascii="Arial" w:hAnsi="Arial" w:cs="Arial"/>
          <w:sz w:val="20"/>
          <w:szCs w:val="20"/>
        </w:rPr>
        <w:t xml:space="preserve"> information provided about the advantages of DTs. </w:t>
      </w:r>
      <w:r w:rsidR="00623BC0" w:rsidRPr="00623BC0">
        <w:rPr>
          <w:rFonts w:ascii="Arial" w:hAnsi="Arial" w:cs="Arial"/>
          <w:i/>
          <w:iCs/>
          <w:sz w:val="20"/>
          <w:szCs w:val="20"/>
        </w:rPr>
        <w:t>Recruitment of n=30 participants:</w:t>
      </w:r>
      <w:r w:rsidR="00623BC0" w:rsidRPr="00623BC0">
        <w:rPr>
          <w:rFonts w:ascii="Arial" w:hAnsi="Arial" w:cs="Arial"/>
          <w:sz w:val="20"/>
          <w:szCs w:val="20"/>
        </w:rPr>
        <w:t xml:space="preserve"> Advertisements distributed via email/community groups/nursery internal to UCL (inclusion criteria: English speaking adult responsible for a child aged under 3, with/without experience administering medicines). </w:t>
      </w:r>
      <w:r w:rsidR="00623BC0" w:rsidRPr="00623BC0">
        <w:rPr>
          <w:rFonts w:ascii="Arial" w:hAnsi="Arial" w:cs="Arial"/>
          <w:i/>
          <w:iCs/>
          <w:sz w:val="20"/>
          <w:szCs w:val="20"/>
        </w:rPr>
        <w:t>Data collection:</w:t>
      </w:r>
      <w:r w:rsidR="00623BC0" w:rsidRPr="00623BC0">
        <w:rPr>
          <w:rFonts w:ascii="Arial" w:hAnsi="Arial" w:cs="Arial"/>
          <w:sz w:val="20"/>
          <w:szCs w:val="20"/>
        </w:rPr>
        <w:t xml:space="preserve"> Parents/caregivers prepared a dose of syrup, regular DT (Tablet 1) and enhanced DT prototype (Tablet 2) at 3 stations, </w:t>
      </w:r>
      <w:proofErr w:type="gramStart"/>
      <w:r w:rsidR="00623BC0" w:rsidRPr="00623BC0">
        <w:rPr>
          <w:rFonts w:ascii="Arial" w:hAnsi="Arial" w:cs="Arial"/>
          <w:sz w:val="20"/>
          <w:szCs w:val="20"/>
        </w:rPr>
        <w:t>A,B</w:t>
      </w:r>
      <w:proofErr w:type="gramEnd"/>
      <w:r w:rsidR="00623BC0" w:rsidRPr="00623BC0">
        <w:rPr>
          <w:rFonts w:ascii="Arial" w:hAnsi="Arial" w:cs="Arial"/>
          <w:sz w:val="20"/>
          <w:szCs w:val="20"/>
        </w:rPr>
        <w:t xml:space="preserve">,C (crossover design), </w:t>
      </w:r>
      <w:r w:rsidR="00646C51">
        <w:rPr>
          <w:rFonts w:ascii="Arial" w:hAnsi="Arial" w:cs="Arial"/>
          <w:sz w:val="20"/>
          <w:szCs w:val="20"/>
        </w:rPr>
        <w:t>before noting</w:t>
      </w:r>
      <w:r w:rsidR="00623BC0" w:rsidRPr="00623BC0">
        <w:rPr>
          <w:rFonts w:ascii="Arial" w:hAnsi="Arial" w:cs="Arial"/>
          <w:sz w:val="20"/>
          <w:szCs w:val="20"/>
        </w:rPr>
        <w:t xml:space="preserve"> their experience and opinions/preferences. </w:t>
      </w:r>
      <w:r w:rsidR="00623BC0" w:rsidRPr="00623BC0">
        <w:rPr>
          <w:rFonts w:ascii="Arial" w:hAnsi="Arial" w:cs="Arial"/>
          <w:i/>
          <w:iCs/>
          <w:sz w:val="20"/>
          <w:szCs w:val="20"/>
        </w:rPr>
        <w:t>Data analysis:</w:t>
      </w:r>
      <w:r w:rsidR="00623BC0" w:rsidRPr="00623BC0">
        <w:rPr>
          <w:rFonts w:ascii="Arial" w:hAnsi="Arial" w:cs="Arial"/>
          <w:sz w:val="20"/>
          <w:szCs w:val="20"/>
        </w:rPr>
        <w:t xml:space="preserve"> numerical comparison and deductive coding</w:t>
      </w:r>
      <w:r w:rsidR="00360943">
        <w:rPr>
          <w:rFonts w:ascii="Arial" w:hAnsi="Arial" w:cs="Arial"/>
          <w:sz w:val="20"/>
          <w:szCs w:val="20"/>
        </w:rPr>
        <w:t>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CAF931D" w14:textId="5761FDB5" w:rsidR="004419F8" w:rsidRPr="004419F8" w:rsidRDefault="00795378" w:rsidP="004419F8">
      <w:pPr>
        <w:jc w:val="both"/>
        <w:rPr>
          <w:rFonts w:ascii="Arial" w:hAnsi="Arial" w:cs="Arial"/>
          <w:sz w:val="20"/>
          <w:szCs w:val="20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901D9A">
        <w:rPr>
          <w:rFonts w:ascii="Arial" w:hAnsi="Arial" w:cs="Arial"/>
          <w:sz w:val="20"/>
          <w:szCs w:val="20"/>
        </w:rPr>
        <w:t>Most</w:t>
      </w:r>
      <w:r w:rsidR="009B49AA">
        <w:rPr>
          <w:rFonts w:ascii="Arial" w:hAnsi="Arial" w:cs="Arial"/>
          <w:sz w:val="20"/>
          <w:szCs w:val="20"/>
        </w:rPr>
        <w:t xml:space="preserve"> </w:t>
      </w:r>
      <w:r w:rsidR="00692BEE">
        <w:rPr>
          <w:rFonts w:ascii="Arial" w:hAnsi="Arial" w:cs="Arial"/>
          <w:sz w:val="20"/>
          <w:szCs w:val="20"/>
        </w:rPr>
        <w:t xml:space="preserve">participants ranked </w:t>
      </w:r>
      <w:r w:rsidR="00395BE3" w:rsidRPr="00395BE3">
        <w:rPr>
          <w:rFonts w:ascii="Arial" w:hAnsi="Arial" w:cs="Arial"/>
          <w:sz w:val="20"/>
          <w:szCs w:val="20"/>
        </w:rPr>
        <w:t xml:space="preserve">syrup above both DTs initially, but </w:t>
      </w:r>
      <w:r w:rsidR="0011229C">
        <w:rPr>
          <w:rFonts w:ascii="Arial" w:hAnsi="Arial" w:cs="Arial"/>
          <w:sz w:val="20"/>
          <w:szCs w:val="20"/>
        </w:rPr>
        <w:t xml:space="preserve">this </w:t>
      </w:r>
      <w:r w:rsidR="00395BE3" w:rsidRPr="00395BE3">
        <w:rPr>
          <w:rFonts w:ascii="Arial" w:hAnsi="Arial" w:cs="Arial"/>
          <w:sz w:val="20"/>
          <w:szCs w:val="20"/>
        </w:rPr>
        <w:t>reduced</w:t>
      </w:r>
      <w:r w:rsidR="005D0D12">
        <w:rPr>
          <w:rFonts w:ascii="Arial" w:hAnsi="Arial" w:cs="Arial"/>
          <w:sz w:val="20"/>
          <w:szCs w:val="20"/>
        </w:rPr>
        <w:t xml:space="preserve"> </w:t>
      </w:r>
      <w:r w:rsidR="008C6593">
        <w:rPr>
          <w:rFonts w:ascii="Arial" w:hAnsi="Arial" w:cs="Arial"/>
          <w:sz w:val="20"/>
          <w:szCs w:val="20"/>
        </w:rPr>
        <w:t>as</w:t>
      </w:r>
      <w:r w:rsidR="005D0D12">
        <w:rPr>
          <w:rFonts w:ascii="Arial" w:hAnsi="Arial" w:cs="Arial"/>
          <w:sz w:val="20"/>
          <w:szCs w:val="20"/>
        </w:rPr>
        <w:t xml:space="preserve"> </w:t>
      </w:r>
      <w:r w:rsidR="00BC1122">
        <w:rPr>
          <w:rFonts w:ascii="Arial" w:hAnsi="Arial" w:cs="Arial"/>
          <w:sz w:val="20"/>
          <w:szCs w:val="20"/>
        </w:rPr>
        <w:t>suitability and confidence ranking</w:t>
      </w:r>
      <w:r w:rsidR="008C6593">
        <w:rPr>
          <w:rFonts w:ascii="Arial" w:hAnsi="Arial" w:cs="Arial"/>
          <w:sz w:val="20"/>
          <w:szCs w:val="20"/>
        </w:rPr>
        <w:t>s</w:t>
      </w:r>
      <w:r w:rsidR="00BC1122">
        <w:rPr>
          <w:rFonts w:ascii="Arial" w:hAnsi="Arial" w:cs="Arial"/>
          <w:sz w:val="20"/>
          <w:szCs w:val="20"/>
        </w:rPr>
        <w:t xml:space="preserve"> for </w:t>
      </w:r>
      <w:r w:rsidR="008C6593">
        <w:rPr>
          <w:rFonts w:ascii="Arial" w:hAnsi="Arial" w:cs="Arial"/>
          <w:sz w:val="20"/>
          <w:szCs w:val="20"/>
        </w:rPr>
        <w:t>both tablets increased</w:t>
      </w:r>
      <w:r w:rsidR="00395BE3" w:rsidRPr="00395BE3">
        <w:rPr>
          <w:rFonts w:ascii="Arial" w:hAnsi="Arial" w:cs="Arial"/>
          <w:sz w:val="20"/>
          <w:szCs w:val="20"/>
        </w:rPr>
        <w:t xml:space="preserve"> after information was provided about how DTs may be more optimal for dosing</w:t>
      </w:r>
      <w:r w:rsidR="00C33EEF">
        <w:rPr>
          <w:rFonts w:ascii="Arial" w:hAnsi="Arial" w:cs="Arial"/>
          <w:sz w:val="20"/>
          <w:szCs w:val="20"/>
        </w:rPr>
        <w:t xml:space="preserve"> the youngest patients</w:t>
      </w:r>
      <w:r w:rsidR="004F67A2">
        <w:rPr>
          <w:rFonts w:ascii="Arial" w:hAnsi="Arial" w:cs="Arial"/>
          <w:sz w:val="20"/>
          <w:szCs w:val="20"/>
        </w:rPr>
        <w:t xml:space="preserve"> </w:t>
      </w:r>
      <w:r w:rsidR="00395BE3" w:rsidRPr="00395BE3">
        <w:rPr>
          <w:rFonts w:ascii="Arial" w:hAnsi="Arial" w:cs="Arial"/>
          <w:sz w:val="20"/>
          <w:szCs w:val="20"/>
        </w:rPr>
        <w:t>(table 1).</w:t>
      </w:r>
    </w:p>
    <w:tbl>
      <w:tblPr>
        <w:tblStyle w:val="TableGrid"/>
        <w:tblpPr w:leftFromText="180" w:rightFromText="180" w:vertAnchor="text" w:horzAnchor="margin" w:tblpXSpec="center" w:tblpY="-43"/>
        <w:tblW w:w="0" w:type="auto"/>
        <w:tblBorders>
          <w:top w:val="none" w:sz="0" w:space="0" w:color="auto"/>
          <w:lef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7"/>
        <w:gridCol w:w="1801"/>
        <w:gridCol w:w="1934"/>
        <w:gridCol w:w="1801"/>
        <w:gridCol w:w="1934"/>
      </w:tblGrid>
      <w:tr w:rsidR="004419F8" w:rsidRPr="007E4C3E" w14:paraId="66C14056" w14:textId="77777777" w:rsidTr="004419F8">
        <w:trPr>
          <w:trHeight w:val="416"/>
        </w:trPr>
        <w:tc>
          <w:tcPr>
            <w:tcW w:w="0" w:type="auto"/>
            <w:tcBorders>
              <w:bottom w:val="nil"/>
            </w:tcBorders>
          </w:tcPr>
          <w:p w14:paraId="49345FD7" w14:textId="77777777" w:rsidR="004419F8" w:rsidRPr="007E4C3E" w:rsidRDefault="004419F8" w:rsidP="004419F8">
            <w:p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CAEDFB" w:themeFill="accent4" w:themeFillTint="33"/>
            <w:vAlign w:val="center"/>
          </w:tcPr>
          <w:p w14:paraId="794D8A74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Before</w:t>
            </w: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providing DT information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FAE2D5" w:themeFill="accent2" w:themeFillTint="33"/>
            <w:vAlign w:val="center"/>
          </w:tcPr>
          <w:p w14:paraId="2EC56BB1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After</w:t>
            </w: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providing DT information</w:t>
            </w:r>
          </w:p>
        </w:tc>
      </w:tr>
      <w:tr w:rsidR="004419F8" w:rsidRPr="007E4C3E" w14:paraId="66FF753B" w14:textId="77777777" w:rsidTr="004419F8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1ECE17AF" w14:textId="77777777" w:rsidR="004419F8" w:rsidRPr="007E4C3E" w:rsidRDefault="004419F8" w:rsidP="004419F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36F5263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Highest Suitability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CAEDFB" w:themeFill="accent4" w:themeFillTint="33"/>
            <w:vAlign w:val="center"/>
          </w:tcPr>
          <w:p w14:paraId="40B89A8C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Highest Confidence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auto" w:fill="FAE2D5" w:themeFill="accent2" w:themeFillTint="33"/>
            <w:vAlign w:val="center"/>
          </w:tcPr>
          <w:p w14:paraId="050DCCFF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Highest Suitability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7D7E07D5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Highest Confidence</w:t>
            </w:r>
          </w:p>
        </w:tc>
      </w:tr>
      <w:tr w:rsidR="004419F8" w:rsidRPr="007E4C3E" w14:paraId="31BED6D0" w14:textId="77777777" w:rsidTr="004419F8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9F2D0" w:themeFill="accent6" w:themeFillTint="33"/>
            <w:vAlign w:val="center"/>
          </w:tcPr>
          <w:p w14:paraId="71414633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Syrup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EF9F8"/>
            <w:vAlign w:val="center"/>
          </w:tcPr>
          <w:p w14:paraId="702F16B3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96.7%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EEF9F8"/>
            <w:vAlign w:val="center"/>
          </w:tcPr>
          <w:p w14:paraId="5986BAC0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auto" w:fill="F8F2EA"/>
            <w:vAlign w:val="center"/>
          </w:tcPr>
          <w:p w14:paraId="20B73CFB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36.7%</w:t>
            </w:r>
          </w:p>
        </w:tc>
        <w:tc>
          <w:tcPr>
            <w:tcW w:w="0" w:type="auto"/>
            <w:shd w:val="clear" w:color="auto" w:fill="F8F2EA"/>
            <w:vAlign w:val="center"/>
          </w:tcPr>
          <w:p w14:paraId="30AB2BDF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63.3%</w:t>
            </w:r>
          </w:p>
        </w:tc>
      </w:tr>
      <w:tr w:rsidR="004419F8" w:rsidRPr="007E4C3E" w14:paraId="2FF9BBD0" w14:textId="77777777" w:rsidTr="004419F8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9F2D0" w:themeFill="accent6" w:themeFillTint="33"/>
            <w:vAlign w:val="center"/>
          </w:tcPr>
          <w:p w14:paraId="0143CA60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Tablet 1</w:t>
            </w:r>
          </w:p>
        </w:tc>
        <w:tc>
          <w:tcPr>
            <w:tcW w:w="0" w:type="auto"/>
            <w:shd w:val="clear" w:color="auto" w:fill="EEF9F8"/>
            <w:vAlign w:val="center"/>
          </w:tcPr>
          <w:p w14:paraId="20B76C11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EEF9F8"/>
            <w:vAlign w:val="center"/>
          </w:tcPr>
          <w:p w14:paraId="37B97B94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auto" w:fill="F8F2EA"/>
            <w:vAlign w:val="center"/>
          </w:tcPr>
          <w:p w14:paraId="61C6B2F8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26.7%</w:t>
            </w:r>
          </w:p>
        </w:tc>
        <w:tc>
          <w:tcPr>
            <w:tcW w:w="0" w:type="auto"/>
            <w:shd w:val="clear" w:color="auto" w:fill="F8F2EA"/>
            <w:vAlign w:val="center"/>
          </w:tcPr>
          <w:p w14:paraId="1ECCC04B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16.7%</w:t>
            </w:r>
          </w:p>
        </w:tc>
      </w:tr>
      <w:tr w:rsidR="004419F8" w:rsidRPr="007E4C3E" w14:paraId="1EE7B12D" w14:textId="77777777" w:rsidTr="004419F8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9F2D0" w:themeFill="accent6" w:themeFillTint="33"/>
            <w:vAlign w:val="center"/>
          </w:tcPr>
          <w:p w14:paraId="1AA6E7BE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Tablet 2 </w:t>
            </w:r>
          </w:p>
        </w:tc>
        <w:tc>
          <w:tcPr>
            <w:tcW w:w="0" w:type="auto"/>
            <w:shd w:val="clear" w:color="auto" w:fill="EEF9F8"/>
            <w:vAlign w:val="center"/>
          </w:tcPr>
          <w:p w14:paraId="10151AF3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3.3%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EEF9F8"/>
            <w:vAlign w:val="center"/>
          </w:tcPr>
          <w:p w14:paraId="14B7953A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auto" w:fill="F8F2EA"/>
            <w:vAlign w:val="center"/>
          </w:tcPr>
          <w:p w14:paraId="61E48758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36.7%</w:t>
            </w:r>
          </w:p>
        </w:tc>
        <w:tc>
          <w:tcPr>
            <w:tcW w:w="0" w:type="auto"/>
            <w:shd w:val="clear" w:color="auto" w:fill="F8F2EA"/>
            <w:vAlign w:val="center"/>
          </w:tcPr>
          <w:p w14:paraId="17291A6E" w14:textId="77777777" w:rsidR="004419F8" w:rsidRPr="00F918CF" w:rsidRDefault="004419F8" w:rsidP="004419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18CF">
              <w:rPr>
                <w:rFonts w:ascii="Arial" w:hAnsi="Arial" w:cs="Arial"/>
                <w:color w:val="000000" w:themeColor="text1"/>
                <w:sz w:val="20"/>
                <w:szCs w:val="20"/>
              </w:rPr>
              <w:t>20%</w:t>
            </w:r>
          </w:p>
        </w:tc>
      </w:tr>
    </w:tbl>
    <w:p w14:paraId="348619F7" w14:textId="1568336F" w:rsidR="00367B99" w:rsidRPr="00E119DB" w:rsidRDefault="006A40D8" w:rsidP="004419F8">
      <w:pPr>
        <w:jc w:val="center"/>
        <w:rPr>
          <w:rFonts w:ascii="Arial" w:hAnsi="Arial" w:cs="Arial"/>
          <w:sz w:val="20"/>
          <w:szCs w:val="20"/>
        </w:rPr>
      </w:pPr>
      <w:r w:rsidRPr="006A40D8">
        <w:rPr>
          <w:rFonts w:ascii="Arial" w:hAnsi="Arial" w:cs="Arial"/>
          <w:b/>
          <w:bCs/>
          <w:sz w:val="20"/>
          <w:szCs w:val="20"/>
        </w:rPr>
        <w:t xml:space="preserve">Table 1. </w:t>
      </w:r>
      <w:r w:rsidRPr="006A40D8">
        <w:rPr>
          <w:rFonts w:ascii="Arial" w:hAnsi="Arial" w:cs="Arial"/>
          <w:sz w:val="20"/>
          <w:szCs w:val="20"/>
        </w:rPr>
        <w:t xml:space="preserve">Percentage of participants (n=30) ranking syrups, DTs and enhanced DT prototype as having the </w:t>
      </w:r>
      <w:r w:rsidRPr="00A325B9">
        <w:rPr>
          <w:rFonts w:ascii="Arial" w:hAnsi="Arial" w:cs="Arial"/>
          <w:sz w:val="20"/>
          <w:szCs w:val="20"/>
        </w:rPr>
        <w:t>highest</w:t>
      </w:r>
      <w:r w:rsidRPr="006A40D8">
        <w:rPr>
          <w:rFonts w:ascii="Arial" w:hAnsi="Arial" w:cs="Arial"/>
          <w:sz w:val="20"/>
          <w:szCs w:val="20"/>
        </w:rPr>
        <w:t xml:space="preserve"> suitability for and confidence to dose to a child aged under 3</w:t>
      </w:r>
    </w:p>
    <w:p w14:paraId="456863C2" w14:textId="77777777" w:rsidR="00367B99" w:rsidRDefault="00367B99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8653EB2" w14:textId="47AB902A" w:rsidR="001610B4" w:rsidRDefault="00B8473A" w:rsidP="004B046F">
      <w:pPr>
        <w:spacing w:after="0"/>
        <w:contextualSpacing/>
        <w:jc w:val="both"/>
        <w:rPr>
          <w:rFonts w:ascii="Arial" w:eastAsia="+mn-ea" w:hAnsi="Arial" w:cs="Arial"/>
          <w:color w:val="000000" w:themeColor="text1"/>
          <w:kern w:val="24"/>
          <w:sz w:val="20"/>
          <w:szCs w:val="20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C1156">
        <w:rPr>
          <w:rFonts w:ascii="Arial" w:eastAsia="+mn-ea" w:hAnsi="Arial" w:cs="Arial"/>
          <w:color w:val="000000" w:themeColor="text1"/>
          <w:kern w:val="24"/>
          <w:sz w:val="20"/>
          <w:szCs w:val="20"/>
        </w:rPr>
        <w:t>This was a</w:t>
      </w:r>
      <w:r w:rsidR="004B046F" w:rsidRPr="004B046F">
        <w:rPr>
          <w:rFonts w:ascii="Arial" w:eastAsia="+mn-ea" w:hAnsi="Arial" w:cs="Arial"/>
          <w:color w:val="000000" w:themeColor="text1"/>
          <w:kern w:val="24"/>
          <w:sz w:val="20"/>
          <w:szCs w:val="20"/>
        </w:rPr>
        <w:t xml:space="preserve"> successful pilot</w:t>
      </w:r>
      <w:r w:rsidR="00BA15DD">
        <w:rPr>
          <w:rFonts w:ascii="Arial" w:eastAsia="+mn-ea" w:hAnsi="Arial" w:cs="Arial"/>
          <w:color w:val="000000" w:themeColor="text1"/>
          <w:kern w:val="24"/>
          <w:sz w:val="20"/>
          <w:szCs w:val="20"/>
        </w:rPr>
        <w:t xml:space="preserve"> study</w:t>
      </w:r>
      <w:r w:rsidR="004B046F" w:rsidRPr="004B046F">
        <w:rPr>
          <w:rFonts w:ascii="Arial" w:eastAsia="+mn-ea" w:hAnsi="Arial" w:cs="Arial"/>
          <w:color w:val="000000" w:themeColor="text1"/>
          <w:kern w:val="24"/>
          <w:sz w:val="20"/>
          <w:szCs w:val="20"/>
        </w:rPr>
        <w:t xml:space="preserve"> supplementing previous investigation of </w:t>
      </w:r>
      <w:r w:rsidR="00E927BA">
        <w:rPr>
          <w:rFonts w:ascii="Arial" w:eastAsia="+mn-ea" w:hAnsi="Arial" w:cs="Arial"/>
          <w:color w:val="000000" w:themeColor="text1"/>
          <w:kern w:val="24"/>
          <w:sz w:val="20"/>
          <w:szCs w:val="20"/>
        </w:rPr>
        <w:t>the</w:t>
      </w:r>
      <w:r w:rsidR="004B046F" w:rsidRPr="004B046F">
        <w:rPr>
          <w:rFonts w:ascii="Arial" w:eastAsia="+mn-ea" w:hAnsi="Arial" w:cs="Arial"/>
          <w:color w:val="000000" w:themeColor="text1"/>
          <w:kern w:val="24"/>
          <w:sz w:val="20"/>
          <w:szCs w:val="20"/>
        </w:rPr>
        <w:t xml:space="preserve"> challenges of preparing and administering DTs to children aged under 3. </w:t>
      </w:r>
      <w:r w:rsidR="004B046F" w:rsidRPr="004B046F">
        <w:rPr>
          <w:rFonts w:ascii="Arial" w:hAnsi="Arial" w:cs="Arial"/>
          <w:sz w:val="20"/>
          <w:szCs w:val="20"/>
        </w:rPr>
        <w:t>Findings show</w:t>
      </w:r>
      <w:r w:rsidR="00A278DC">
        <w:rPr>
          <w:rFonts w:ascii="Arial" w:hAnsi="Arial" w:cs="Arial"/>
          <w:sz w:val="20"/>
          <w:szCs w:val="20"/>
        </w:rPr>
        <w:t>ed</w:t>
      </w:r>
      <w:r w:rsidR="004B046F" w:rsidRPr="004B046F">
        <w:rPr>
          <w:rFonts w:ascii="Arial" w:hAnsi="Arial" w:cs="Arial"/>
          <w:sz w:val="20"/>
          <w:szCs w:val="20"/>
        </w:rPr>
        <w:t xml:space="preserve"> that formulation enhancement, increasing familiarity through hands-on experience with the dosage forms as well as provision of information to foster greater understanding of DTs, can improve the user experience and </w:t>
      </w:r>
      <w:r w:rsidR="00A278DC">
        <w:rPr>
          <w:rFonts w:ascii="Arial" w:hAnsi="Arial" w:cs="Arial"/>
          <w:sz w:val="20"/>
          <w:szCs w:val="20"/>
        </w:rPr>
        <w:t xml:space="preserve">their </w:t>
      </w:r>
      <w:r w:rsidR="004B046F" w:rsidRPr="004B046F">
        <w:rPr>
          <w:rFonts w:ascii="Arial" w:hAnsi="Arial" w:cs="Arial"/>
          <w:sz w:val="20"/>
          <w:szCs w:val="20"/>
        </w:rPr>
        <w:t xml:space="preserve">acceptability. </w:t>
      </w:r>
      <w:r w:rsidR="004B046F" w:rsidRPr="004B046F">
        <w:rPr>
          <w:rFonts w:ascii="Arial" w:eastAsia="+mn-ea" w:hAnsi="Arial" w:cs="Arial"/>
          <w:color w:val="000000" w:themeColor="text1"/>
          <w:kern w:val="24"/>
          <w:sz w:val="20"/>
          <w:szCs w:val="20"/>
        </w:rPr>
        <w:t>It validates the study to be brought to a wider population of parental/caregiver groups to build a more inclusive and truer picture</w:t>
      </w:r>
      <w:r w:rsidR="00F84FF4">
        <w:rPr>
          <w:rFonts w:ascii="Arial" w:eastAsia="+mn-ea" w:hAnsi="Arial" w:cs="Arial"/>
          <w:color w:val="000000" w:themeColor="text1"/>
          <w:kern w:val="24"/>
          <w:sz w:val="20"/>
          <w:szCs w:val="20"/>
        </w:rPr>
        <w:t>.</w:t>
      </w:r>
    </w:p>
    <w:p w14:paraId="361E3559" w14:textId="77777777" w:rsidR="008C0B22" w:rsidRDefault="008C0B22" w:rsidP="004B046F">
      <w:pPr>
        <w:spacing w:after="0"/>
        <w:contextualSpacing/>
        <w:jc w:val="both"/>
        <w:rPr>
          <w:rFonts w:ascii="Arial" w:eastAsia="+mn-ea" w:hAnsi="Arial" w:cs="Arial"/>
          <w:color w:val="000000" w:themeColor="text1"/>
          <w:kern w:val="24"/>
          <w:sz w:val="20"/>
          <w:szCs w:val="20"/>
        </w:rPr>
      </w:pPr>
    </w:p>
    <w:p w14:paraId="65E846CD" w14:textId="52AC0DD9" w:rsidR="00C315D2" w:rsidRPr="008C0B22" w:rsidRDefault="001610B4" w:rsidP="00E119DB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8C0B22">
        <w:rPr>
          <w:rFonts w:ascii="Arial" w:hAnsi="Arial" w:cs="Arial"/>
          <w:i/>
          <w:iCs/>
          <w:sz w:val="20"/>
          <w:szCs w:val="20"/>
        </w:rPr>
        <w:t xml:space="preserve">Acknowledgements: This research is funded by the UKRI </w:t>
      </w:r>
      <w:r w:rsidR="004E5DE8" w:rsidRPr="008C0B22">
        <w:rPr>
          <w:rFonts w:ascii="Arial" w:hAnsi="Arial" w:cs="Arial"/>
          <w:i/>
          <w:iCs/>
          <w:sz w:val="20"/>
          <w:szCs w:val="20"/>
        </w:rPr>
        <w:t>EPSRC</w:t>
      </w:r>
      <w:r w:rsidRPr="008C0B22">
        <w:rPr>
          <w:rFonts w:ascii="Arial" w:hAnsi="Arial" w:cs="Arial"/>
          <w:i/>
          <w:iCs/>
          <w:sz w:val="20"/>
          <w:szCs w:val="20"/>
        </w:rPr>
        <w:t xml:space="preserve"> and GSK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51523385" w14:textId="77777777" w:rsidR="004736EE" w:rsidRPr="004736EE" w:rsidRDefault="00C315D2" w:rsidP="004736EE">
      <w:pPr>
        <w:pStyle w:val="EndNoteBibliography"/>
        <w:rPr>
          <w:noProof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81582" w:rsidRPr="00681582">
        <w:rPr>
          <w:rFonts w:ascii="Arial" w:eastAsia="Calibri" w:hAnsi="Arial" w:cs="Arial"/>
          <w:bCs/>
          <w:kern w:val="0"/>
          <w:sz w:val="20"/>
          <w:szCs w:val="20"/>
          <w:lang w:val="en-AU"/>
          <w14:ligatures w14:val="none"/>
        </w:rPr>
        <w:fldChar w:fldCharType="begin"/>
      </w:r>
      <w:r w:rsidR="00681582" w:rsidRPr="0068158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instrText xml:space="preserve"> ADDIN EN.REFLIST </w:instrText>
      </w:r>
      <w:r w:rsidR="00681582" w:rsidRPr="00681582">
        <w:rPr>
          <w:rFonts w:ascii="Arial" w:eastAsia="Calibri" w:hAnsi="Arial" w:cs="Arial"/>
          <w:bCs/>
          <w:kern w:val="0"/>
          <w:sz w:val="20"/>
          <w:szCs w:val="20"/>
          <w:lang w:val="en-AU"/>
          <w14:ligatures w14:val="none"/>
        </w:rPr>
        <w:fldChar w:fldCharType="separate"/>
      </w:r>
      <w:r w:rsidR="004736EE" w:rsidRPr="004736EE">
        <w:rPr>
          <w:rFonts w:ascii="Arial" w:hAnsi="Arial" w:cs="Arial"/>
          <w:noProof/>
          <w:sz w:val="20"/>
          <w:szCs w:val="20"/>
        </w:rPr>
        <w:t>1.</w:t>
      </w:r>
      <w:r w:rsidR="004736EE" w:rsidRPr="004736EE">
        <w:rPr>
          <w:rFonts w:ascii="Arial" w:hAnsi="Arial" w:cs="Arial"/>
          <w:noProof/>
          <w:sz w:val="20"/>
          <w:szCs w:val="20"/>
        </w:rPr>
        <w:tab/>
        <w:t>Kaneria NS, Tuleu C, Ernest T. Opportunities for enteral drug delivery for neonates, infants, and toddlers: a critical exploration. Expert Opinion on Drug Delivery. 2022;19(5):475-519.</w:t>
      </w:r>
    </w:p>
    <w:p w14:paraId="7D0552DC" w14:textId="6025130E" w:rsidR="00E119DB" w:rsidRPr="006931DC" w:rsidRDefault="00681582" w:rsidP="006931DC">
      <w:pPr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681582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fldChar w:fldCharType="end"/>
      </w:r>
    </w:p>
    <w:sectPr w:rsidR="00E119DB" w:rsidRPr="00693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cademy Engraved LET">
    <w:altName w:val="Colonna MT"/>
    <w:charset w:val="00"/>
    <w:family w:val="auto"/>
    <w:pitch w:val="variable"/>
    <w:sig w:usb0="8000007F" w:usb1="4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cademy Engraved LET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C315D2"/>
    <w:rsid w:val="000159A8"/>
    <w:rsid w:val="00041951"/>
    <w:rsid w:val="000438AB"/>
    <w:rsid w:val="00047C99"/>
    <w:rsid w:val="000D1260"/>
    <w:rsid w:val="000D5B40"/>
    <w:rsid w:val="000E52FC"/>
    <w:rsid w:val="00107368"/>
    <w:rsid w:val="0011229C"/>
    <w:rsid w:val="00113BB7"/>
    <w:rsid w:val="00144B62"/>
    <w:rsid w:val="001610B4"/>
    <w:rsid w:val="001E35B6"/>
    <w:rsid w:val="00200F76"/>
    <w:rsid w:val="002017E6"/>
    <w:rsid w:val="0020562A"/>
    <w:rsid w:val="00216B7A"/>
    <w:rsid w:val="00237B5F"/>
    <w:rsid w:val="002476BA"/>
    <w:rsid w:val="002758AF"/>
    <w:rsid w:val="00280BC5"/>
    <w:rsid w:val="00294059"/>
    <w:rsid w:val="002A5994"/>
    <w:rsid w:val="00305AAA"/>
    <w:rsid w:val="00316231"/>
    <w:rsid w:val="003206E4"/>
    <w:rsid w:val="00337637"/>
    <w:rsid w:val="00360943"/>
    <w:rsid w:val="00367B99"/>
    <w:rsid w:val="003735F1"/>
    <w:rsid w:val="00390CAD"/>
    <w:rsid w:val="00392C90"/>
    <w:rsid w:val="00395BE3"/>
    <w:rsid w:val="003A6D5C"/>
    <w:rsid w:val="003D24BF"/>
    <w:rsid w:val="003E09A9"/>
    <w:rsid w:val="00426995"/>
    <w:rsid w:val="004419F8"/>
    <w:rsid w:val="00450079"/>
    <w:rsid w:val="00470B45"/>
    <w:rsid w:val="004736EE"/>
    <w:rsid w:val="004A51B6"/>
    <w:rsid w:val="004B046F"/>
    <w:rsid w:val="004E47A1"/>
    <w:rsid w:val="004E5DE8"/>
    <w:rsid w:val="004F67A2"/>
    <w:rsid w:val="00510CF8"/>
    <w:rsid w:val="00542970"/>
    <w:rsid w:val="005457DC"/>
    <w:rsid w:val="00575A29"/>
    <w:rsid w:val="005A6183"/>
    <w:rsid w:val="005C43FE"/>
    <w:rsid w:val="005D0D12"/>
    <w:rsid w:val="00601754"/>
    <w:rsid w:val="00623BC0"/>
    <w:rsid w:val="00632DE5"/>
    <w:rsid w:val="006352B9"/>
    <w:rsid w:val="00637752"/>
    <w:rsid w:val="00646C51"/>
    <w:rsid w:val="00681582"/>
    <w:rsid w:val="00692BEE"/>
    <w:rsid w:val="006931DC"/>
    <w:rsid w:val="006A34BE"/>
    <w:rsid w:val="006A40D8"/>
    <w:rsid w:val="006D5474"/>
    <w:rsid w:val="006F3F1C"/>
    <w:rsid w:val="006F66D1"/>
    <w:rsid w:val="007141F2"/>
    <w:rsid w:val="00723911"/>
    <w:rsid w:val="007561D8"/>
    <w:rsid w:val="00756A02"/>
    <w:rsid w:val="0078650D"/>
    <w:rsid w:val="007874A5"/>
    <w:rsid w:val="00795378"/>
    <w:rsid w:val="00796206"/>
    <w:rsid w:val="007C367E"/>
    <w:rsid w:val="007F2BE2"/>
    <w:rsid w:val="007F51D9"/>
    <w:rsid w:val="00802514"/>
    <w:rsid w:val="008071C5"/>
    <w:rsid w:val="00807CAE"/>
    <w:rsid w:val="008256A1"/>
    <w:rsid w:val="00825D8E"/>
    <w:rsid w:val="0084512A"/>
    <w:rsid w:val="00851F51"/>
    <w:rsid w:val="00887411"/>
    <w:rsid w:val="008A773C"/>
    <w:rsid w:val="008C0B22"/>
    <w:rsid w:val="008C6593"/>
    <w:rsid w:val="00901D9A"/>
    <w:rsid w:val="00906D34"/>
    <w:rsid w:val="009077BF"/>
    <w:rsid w:val="009337C3"/>
    <w:rsid w:val="00933DC9"/>
    <w:rsid w:val="00936D4C"/>
    <w:rsid w:val="00944403"/>
    <w:rsid w:val="00945D81"/>
    <w:rsid w:val="009523F9"/>
    <w:rsid w:val="009532E2"/>
    <w:rsid w:val="009650DF"/>
    <w:rsid w:val="009726E0"/>
    <w:rsid w:val="009B1CBB"/>
    <w:rsid w:val="009B49AA"/>
    <w:rsid w:val="009C6DFD"/>
    <w:rsid w:val="00A0424A"/>
    <w:rsid w:val="00A0516D"/>
    <w:rsid w:val="00A155FF"/>
    <w:rsid w:val="00A278DC"/>
    <w:rsid w:val="00A325B9"/>
    <w:rsid w:val="00A331EB"/>
    <w:rsid w:val="00A43BBF"/>
    <w:rsid w:val="00A65D67"/>
    <w:rsid w:val="00A84B25"/>
    <w:rsid w:val="00AD3E1C"/>
    <w:rsid w:val="00B341A6"/>
    <w:rsid w:val="00B4355C"/>
    <w:rsid w:val="00B4721D"/>
    <w:rsid w:val="00B55D22"/>
    <w:rsid w:val="00B759BE"/>
    <w:rsid w:val="00B759C6"/>
    <w:rsid w:val="00B767A0"/>
    <w:rsid w:val="00B8473A"/>
    <w:rsid w:val="00BA15DD"/>
    <w:rsid w:val="00BA202A"/>
    <w:rsid w:val="00BB05D7"/>
    <w:rsid w:val="00BB1109"/>
    <w:rsid w:val="00BC1122"/>
    <w:rsid w:val="00BC1156"/>
    <w:rsid w:val="00C011CE"/>
    <w:rsid w:val="00C21815"/>
    <w:rsid w:val="00C315D2"/>
    <w:rsid w:val="00C33EEF"/>
    <w:rsid w:val="00C353D8"/>
    <w:rsid w:val="00C35430"/>
    <w:rsid w:val="00C6228F"/>
    <w:rsid w:val="00C66372"/>
    <w:rsid w:val="00C97327"/>
    <w:rsid w:val="00CB25BE"/>
    <w:rsid w:val="00CB6472"/>
    <w:rsid w:val="00CF0CB6"/>
    <w:rsid w:val="00CF5A91"/>
    <w:rsid w:val="00D02BB1"/>
    <w:rsid w:val="00D158A3"/>
    <w:rsid w:val="00D3307C"/>
    <w:rsid w:val="00D45A74"/>
    <w:rsid w:val="00D50AF5"/>
    <w:rsid w:val="00D6185F"/>
    <w:rsid w:val="00D65F8A"/>
    <w:rsid w:val="00D7428F"/>
    <w:rsid w:val="00D95F22"/>
    <w:rsid w:val="00DA373C"/>
    <w:rsid w:val="00DC22E8"/>
    <w:rsid w:val="00DE318F"/>
    <w:rsid w:val="00E05D0F"/>
    <w:rsid w:val="00E10AF0"/>
    <w:rsid w:val="00E119DB"/>
    <w:rsid w:val="00E571C2"/>
    <w:rsid w:val="00E927BA"/>
    <w:rsid w:val="00EB5EE1"/>
    <w:rsid w:val="00EC3746"/>
    <w:rsid w:val="00ED2AF1"/>
    <w:rsid w:val="00EE3643"/>
    <w:rsid w:val="00F0338E"/>
    <w:rsid w:val="00F34C52"/>
    <w:rsid w:val="00F539FB"/>
    <w:rsid w:val="00F84FF4"/>
    <w:rsid w:val="00F85528"/>
    <w:rsid w:val="00F918CF"/>
    <w:rsid w:val="00FB08BF"/>
    <w:rsid w:val="00FB47AF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FD"/>
    <w:rPr>
      <w:rFonts w:eastAsiaTheme="minorEastAsi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rFonts w:eastAsiaTheme="minorHAnsi"/>
      <w:i/>
      <w:iCs/>
      <w:color w:val="404040" w:themeColor="text1" w:themeTint="BF"/>
      <w:lang w:val="en-A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  <w:rPr>
      <w:rFonts w:eastAsiaTheme="minorHAnsi"/>
      <w:lang w:val="en-AU" w:eastAsia="en-US"/>
    </w:r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en-A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18C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81582"/>
    <w:pPr>
      <w:spacing w:after="0"/>
      <w:jc w:val="center"/>
    </w:pPr>
    <w:rPr>
      <w:rFonts w:ascii="Academy Engraved LET" w:eastAsiaTheme="minorHAnsi" w:hAnsi="Academy Engraved LET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81582"/>
    <w:rPr>
      <w:rFonts w:ascii="Academy Engraved LET" w:hAnsi="Academy Engraved LET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81582"/>
    <w:pPr>
      <w:spacing w:line="240" w:lineRule="auto"/>
      <w:jc w:val="both"/>
    </w:pPr>
    <w:rPr>
      <w:rFonts w:ascii="Academy Engraved LET" w:eastAsiaTheme="minorHAnsi" w:hAnsi="Academy Engraved LET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81582"/>
    <w:rPr>
      <w:rFonts w:ascii="Academy Engraved LET" w:hAnsi="Academy Engraved LET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5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D8E"/>
    <w:pPr>
      <w:spacing w:line="240" w:lineRule="auto"/>
    </w:pPr>
    <w:rPr>
      <w:rFonts w:eastAsiaTheme="minorHAnsi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3907</Characters>
  <Application>Microsoft Office Word</Application>
  <DocSecurity>4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Tuleu, Catherine</cp:lastModifiedBy>
  <cp:revision>2</cp:revision>
  <dcterms:created xsi:type="dcterms:W3CDTF">2025-07-18T11:39:00Z</dcterms:created>
  <dcterms:modified xsi:type="dcterms:W3CDTF">2025-07-18T11:39:00Z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