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23DF" w14:textId="2C1D5042" w:rsidR="005B5FE9" w:rsidRPr="004424B2" w:rsidRDefault="005B5FE9" w:rsidP="00B54E0D">
      <w:pPr>
        <w:adjustRightInd w:val="0"/>
        <w:snapToGrid w:val="0"/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</w:pPr>
      <w:r w:rsidRPr="004424B2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Enhancing the Solubility of Cannabinol with </w:t>
      </w:r>
      <w:r w:rsidR="00C07793" w:rsidRPr="004424B2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Cyclodextrins and </w:t>
      </w:r>
      <w:r w:rsidRPr="004424B2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>Human Serum Albumin</w:t>
      </w:r>
    </w:p>
    <w:p w14:paraId="79141BD9" w14:textId="660AFFDC" w:rsidR="00C315D2" w:rsidRPr="004424B2" w:rsidRDefault="00327B1E" w:rsidP="00B54E0D">
      <w:pPr>
        <w:adjustRightInd w:val="0"/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424B2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Wing Gi Gigi Fung</w:t>
      </w:r>
      <w:r w:rsidR="00C315D2" w:rsidRPr="004424B2">
        <w:rPr>
          <w:rFonts w:ascii="Arial" w:eastAsia="Calibri" w:hAnsi="Arial" w:cs="Arial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Jonathon Carl Arnold</w:t>
      </w:r>
      <w:r w:rsidR="00C315D2" w:rsidRPr="004424B2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2</w:t>
      </w:r>
      <w:r w:rsidRPr="004424B2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,3</w:t>
      </w:r>
      <w:r w:rsidR="00C315D2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Hak-Kim Chan</w:t>
      </w:r>
      <w:r w:rsidRPr="004424B2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 Philip Chi Lip Kwok</w:t>
      </w:r>
      <w:r w:rsidRPr="004424B2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</w:t>
      </w:r>
    </w:p>
    <w:p w14:paraId="137D4547" w14:textId="3F35B22C" w:rsidR="00C315D2" w:rsidRPr="004424B2" w:rsidRDefault="00AC15B7" w:rsidP="00B54E0D">
      <w:pPr>
        <w:adjustRightInd w:val="0"/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424B2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Advanced Drug Delivery Group, School of Pharmacy, Faculty of Medicine and Health, The University of Sydney, New South Wales 2006, Australia</w:t>
      </w:r>
      <w:r w:rsidR="00F539FB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;</w:t>
      </w:r>
    </w:p>
    <w:p w14:paraId="75500E16" w14:textId="77777777" w:rsidR="00AC15B7" w:rsidRPr="004424B2" w:rsidRDefault="00AC15B7" w:rsidP="00B54E0D">
      <w:pPr>
        <w:adjustRightInd w:val="0"/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424B2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2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Lambert Initiative for Cannabinoid Therapeutics, Brain and Mind Centre, The University of Sydney, NSW 2050, Australia;</w:t>
      </w:r>
    </w:p>
    <w:p w14:paraId="47D76891" w14:textId="62A68EDB" w:rsidR="00C315D2" w:rsidRPr="004424B2" w:rsidRDefault="00AC15B7" w:rsidP="00B54E0D">
      <w:pPr>
        <w:adjustRightInd w:val="0"/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424B2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3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Discipline of Pharmacology, Sydney Pharmacy School, Faculty of Medicine and Health, The University of Sydney, NSW 2006, Australia</w:t>
      </w:r>
      <w:r w:rsidR="005F4C7E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2DD37039" w14:textId="77777777" w:rsidR="00C315D2" w:rsidRPr="004424B2" w:rsidRDefault="00C315D2" w:rsidP="00B54E0D">
      <w:pPr>
        <w:adjustRightInd w:val="0"/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424B2">
        <w:rPr>
          <w:rFonts w:ascii="Arial" w:eastAsia="Calibri" w:hAnsi="Arial" w:cs="Arial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0AF92400" w14:textId="044BAE41" w:rsidR="00C85A07" w:rsidRPr="004424B2" w:rsidRDefault="00B8473A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424B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Background and aims</w:t>
      </w:r>
      <w:r w:rsidR="00C315D2" w:rsidRPr="004424B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.</w:t>
      </w:r>
      <w:r w:rsidR="0038783F" w:rsidRPr="004424B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="00B75893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Cannabinol (CBN) is a minor phytocannabinoid from cannabis</w:t>
      </w:r>
      <w:r w:rsidR="00B75893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that has pro-sleep effects that </w:t>
      </w:r>
      <w:r w:rsidR="0040488B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may be</w:t>
      </w:r>
      <w:r w:rsidR="00B75893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useful for treating insomnia</w:t>
      </w:r>
      <w:r w:rsidR="00BC255C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(1)</w:t>
      </w:r>
      <w:r w:rsidR="00B75893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  <w:r w:rsidR="00C401E8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7227AD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While formulating </w:t>
      </w:r>
      <w:r w:rsidR="006227BC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CBN</w:t>
      </w:r>
      <w:r w:rsidR="007227AD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as solid dosage form</w:t>
      </w:r>
      <w:r w:rsidR="003A0392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</w:t>
      </w:r>
      <w:r w:rsidR="007227AD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3A0392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would best </w:t>
      </w:r>
      <w:r w:rsidR="00746740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ensure </w:t>
      </w:r>
      <w:r w:rsidR="007227AD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physicochemical stability, i</w:t>
      </w:r>
      <w:r w:rsidR="00C401E8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</w:t>
      </w:r>
      <w:r w:rsidR="000C67E1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s </w:t>
      </w:r>
      <w:r w:rsidR="00C401E8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low aqueous solubility</w:t>
      </w:r>
      <w:r w:rsidR="000C67E1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8C1B30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poses a significant delivery </w:t>
      </w:r>
      <w:r w:rsidR="00970785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challenge</w:t>
      </w:r>
      <w:r w:rsidR="000C5513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</w:t>
      </w:r>
      <w:r w:rsidR="009E23EE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Few studies have been reported on improving the solubility of CBN.</w:t>
      </w:r>
      <w:r w:rsidR="00EE29E8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C85A07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Cyclodextrins </w:t>
      </w:r>
      <w:r w:rsidR="00F23C6D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and serum albumin </w:t>
      </w:r>
      <w:r w:rsidR="00C85A07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have been used </w:t>
      </w:r>
      <w:r w:rsidR="00F23C6D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to</w:t>
      </w:r>
      <w:r w:rsidR="00C85A07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6D46D7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increas</w:t>
      </w:r>
      <w:r w:rsidR="00F23C6D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</w:t>
      </w:r>
      <w:r w:rsidR="006D46D7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the solubility</w:t>
      </w:r>
      <w:r w:rsidR="00964F58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and bioavailability</w:t>
      </w:r>
      <w:r w:rsidR="00C85A07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6D46D7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of</w:t>
      </w:r>
      <w:r w:rsidR="00C85A07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hydrophobic drugs</w:t>
      </w:r>
      <w:r w:rsidR="00C04D52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</w:t>
      </w:r>
      <w:r w:rsidR="008B4847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2</w:t>
      </w:r>
      <w:r w:rsidR="00DB7037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-4</w:t>
      </w:r>
      <w:r w:rsidR="00C04D52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  <w:r w:rsidR="00F23C6D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282999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including cannabidiol</w:t>
      </w:r>
      <w:r w:rsidR="00C04D52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</w:t>
      </w:r>
      <w:r w:rsidR="005E542F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5-7</w:t>
      </w:r>
      <w:r w:rsidR="00C04D52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  <w:r w:rsidR="00282999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F23C6D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but their </w:t>
      </w:r>
      <w:r w:rsidR="00BA7EF1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solubilising </w:t>
      </w:r>
      <w:r w:rsidR="00F23C6D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effects on CBN ha</w:t>
      </w:r>
      <w:r w:rsidR="0030790D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ve</w:t>
      </w:r>
      <w:r w:rsidR="00F23C6D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not </w:t>
      </w:r>
      <w:r w:rsidR="00FC6625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yet</w:t>
      </w:r>
      <w:r w:rsidR="00FC6625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F23C6D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been studied.</w:t>
      </w:r>
      <w:r w:rsidR="00903092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C85A07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This study aimed to develop a CBN powder with enhanced solubility using</w:t>
      </w:r>
      <w:r w:rsidR="00EE29E8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903092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cyclodextrins and human serum albumin</w:t>
      </w:r>
      <w:r w:rsidR="00EE29E8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D25851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(HSA) </w:t>
      </w:r>
      <w:r w:rsidR="00EE29E8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as excipients</w:t>
      </w:r>
      <w:r w:rsidR="00C85A07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3CA74C2A" w14:textId="77777777" w:rsidR="00C85A07" w:rsidRPr="004424B2" w:rsidRDefault="00C85A07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48C0479A" w14:textId="3ED75552" w:rsidR="00C315D2" w:rsidRPr="004424B2" w:rsidRDefault="00C315D2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424B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Methods.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ED2407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</w:t>
      </w:r>
      <w:r w:rsidR="00D25851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olubility tests were conducted </w:t>
      </w:r>
      <w:r w:rsidR="004C1A6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using</w:t>
      </w:r>
      <w:r w:rsidR="00D25851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α-cyclodextrin, β-cyclodextrin, γ-cyclodextrin, methyl-β-cyclodextrin, 2-hydroxypropyl-β-cyclodextrin</w:t>
      </w:r>
      <w:r w:rsidR="00D25851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 and HSA.</w:t>
      </w:r>
      <w:r w:rsidR="00652FB7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342327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HSA showed the strongest solubilising power, so it was </w:t>
      </w:r>
      <w:r w:rsidR="001A6A2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co-</w:t>
      </w:r>
      <w:r w:rsidR="00AC6A1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dissolved </w:t>
      </w:r>
      <w:r w:rsidR="00342327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with CBN</w:t>
      </w:r>
      <w:r w:rsidR="00AC6A1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in </w:t>
      </w:r>
      <w:r w:rsidR="00AC6A1F" w:rsidRPr="00AC6A1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50:50 v/v water:tert-butanol</w:t>
      </w:r>
      <w:r w:rsidR="00AC6A1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and </w:t>
      </w:r>
      <w:r w:rsidR="00AC6A1F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spray freeze-dried </w:t>
      </w:r>
      <w:r w:rsidR="00342327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to obtain a powder.</w:t>
      </w:r>
      <w:r w:rsidR="00AD143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The CBN-to-HSA mass ratio in the formulation was 20:80. </w:t>
      </w:r>
      <w:r w:rsidR="00574D35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The</w:t>
      </w:r>
      <w:r w:rsidR="00BC34B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resultant</w:t>
      </w:r>
      <w:r w:rsidR="00574D35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particles were imaged by scanning electron microscopy and sized by laser diffraction. The</w:t>
      </w:r>
      <w:r w:rsidR="00B3706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ir</w:t>
      </w:r>
      <w:r w:rsidR="00574D35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residual solvent content, crystallinity, thermal behaviour, and </w:t>
      </w:r>
      <w:r w:rsidR="00A923F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response to moisture</w:t>
      </w:r>
      <w:r w:rsidR="00574D35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were measured by thermogravimetric analysis, X-ray diffraction, differential scanning calorimetry, and dynamic vapour sorption, respectively.</w:t>
      </w:r>
      <w:r w:rsidR="001A224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Dose uniformity was assayed by high performance liquid chromatography.</w:t>
      </w:r>
    </w:p>
    <w:p w14:paraId="1387B9C3" w14:textId="77777777" w:rsidR="00C315D2" w:rsidRPr="004424B2" w:rsidRDefault="00C315D2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n-GB"/>
          <w14:ligatures w14:val="none"/>
        </w:rPr>
      </w:pPr>
    </w:p>
    <w:p w14:paraId="5D65706F" w14:textId="2C392E8A" w:rsidR="00C315D2" w:rsidRDefault="00795378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424B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 w:rsidR="00C315D2" w:rsidRPr="004424B2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4424B2" w:rsidRPr="004424B2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The aqueous solubility of CBN </w:t>
      </w:r>
      <w:r w:rsidR="004424B2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in the presence of the excipients followed the order of: HSA &gt; </w:t>
      </w:r>
      <w:r w:rsidR="004424B2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methyl-β-cyclodextrin</w:t>
      </w:r>
      <w:r w:rsid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= </w:t>
      </w:r>
      <w:r w:rsidR="004424B2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2-hydroxypropyl-β-cyclodextrin</w:t>
      </w:r>
      <w:r w:rsid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&gt; </w:t>
      </w:r>
      <w:r w:rsidR="004424B2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β-cyclodextrin</w:t>
      </w:r>
      <w:r w:rsid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&gt; </w:t>
      </w:r>
      <w:r w:rsidR="004424B2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α-cyclodextrin</w:t>
      </w:r>
      <w:r w:rsid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= </w:t>
      </w:r>
      <w:r w:rsidR="004424B2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γ-cyclodextrin</w:t>
      </w:r>
      <w:r w:rsidR="002A6EC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(Figure 1)</w:t>
      </w:r>
      <w:r w:rsid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</w:t>
      </w:r>
      <w:r w:rsidR="00AC6A1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</w:t>
      </w:r>
      <w:r w:rsidR="00A3665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co-spray freeze dried CBN-HSA</w:t>
      </w:r>
      <w:r w:rsidR="00AC6A1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particles </w:t>
      </w:r>
      <w:r w:rsidR="00B643E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were amorphous</w:t>
      </w:r>
      <w:r w:rsidR="00B643E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 with</w:t>
      </w:r>
      <w:r w:rsidR="00600C0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 </w:t>
      </w:r>
      <w:r w:rsidR="00600C0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median volumetric diameter of</w:t>
      </w:r>
      <w:r w:rsidR="00AC6A1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AC6A1F" w:rsidRPr="00AC6A1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27.3 ± 1.6 μm</w:t>
      </w:r>
      <w:r w:rsidR="000C3FA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and residual solvent content of 6.9%. </w:t>
      </w:r>
      <w:r w:rsidR="00DE5259" w:rsidRPr="00DE525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The CBN </w:t>
      </w:r>
      <w:r w:rsidR="00F251D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assayed </w:t>
      </w:r>
      <w:r w:rsidR="004C429B">
        <w:rPr>
          <w:rFonts w:ascii="Arial" w:eastAsia="Calibri" w:hAnsi="Arial" w:cs="Arial"/>
          <w:kern w:val="0"/>
          <w:sz w:val="20"/>
          <w:szCs w:val="20"/>
          <w14:ligatures w14:val="none"/>
        </w:rPr>
        <w:t>dose</w:t>
      </w:r>
      <w:r w:rsidR="005519C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was uniform</w:t>
      </w:r>
      <w:r w:rsidR="00DE5259" w:rsidRPr="00DE525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</w:t>
      </w:r>
      <w:r w:rsidR="003B5CD4">
        <w:rPr>
          <w:rFonts w:ascii="Arial" w:eastAsia="Calibri" w:hAnsi="Arial" w:cs="Arial"/>
          <w:kern w:val="0"/>
          <w:sz w:val="20"/>
          <w:szCs w:val="20"/>
          <w14:ligatures w14:val="none"/>
        </w:rPr>
        <w:t>at</w:t>
      </w:r>
      <w:r w:rsidR="00DE5259" w:rsidRPr="00DE525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101.7 ± 3.5%.</w:t>
      </w:r>
      <w:r w:rsidR="00D24A0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6625B2">
        <w:rPr>
          <w:rFonts w:ascii="Arial" w:eastAsia="Calibri" w:hAnsi="Arial" w:cs="Arial"/>
          <w:kern w:val="0"/>
          <w:sz w:val="20"/>
          <w:szCs w:val="20"/>
          <w14:ligatures w14:val="none"/>
        </w:rPr>
        <w:t>N</w:t>
      </w:r>
      <w:r w:rsidR="00D24A0E">
        <w:rPr>
          <w:rFonts w:ascii="Arial" w:eastAsia="Calibri" w:hAnsi="Arial" w:cs="Arial"/>
          <w:kern w:val="0"/>
          <w:sz w:val="20"/>
          <w:szCs w:val="20"/>
          <w14:ligatures w14:val="none"/>
        </w:rPr>
        <w:t>o crystallisation was observed upon exposing the powder up to 90% relative humidity.</w:t>
      </w:r>
    </w:p>
    <w:p w14:paraId="3B03E137" w14:textId="77777777" w:rsidR="001A6A20" w:rsidRPr="004424B2" w:rsidRDefault="001A6A20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7A6A1625" w14:textId="34580831" w:rsidR="00C315D2" w:rsidRPr="002A6EC1" w:rsidRDefault="002A6EC1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2A6EC1">
        <w:drawing>
          <wp:inline distT="0" distB="0" distL="0" distR="0" wp14:anchorId="1FC3F380" wp14:editId="6AC9D3BB">
            <wp:extent cx="5731510" cy="1697355"/>
            <wp:effectExtent l="0" t="0" r="2540" b="0"/>
            <wp:docPr id="1152084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0782D" w14:textId="5173FF0A" w:rsidR="000C0A92" w:rsidRPr="004424B2" w:rsidRDefault="00C315D2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n-GB"/>
          <w14:ligatures w14:val="none"/>
        </w:rPr>
      </w:pPr>
      <w:r w:rsidRPr="002A6EC1">
        <w:rPr>
          <w:rFonts w:ascii="Arial" w:eastAsia="Calibri" w:hAnsi="Arial" w:cs="Arial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2A6EC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Solubility of CBN in the presence of </w:t>
      </w:r>
      <w:r w:rsidR="00152B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(a) </w:t>
      </w:r>
      <w:r w:rsidR="002A6EC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cyclodextrins and </w:t>
      </w:r>
      <w:r w:rsidR="00152B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(b) </w:t>
      </w:r>
      <w:r w:rsidR="002A6EC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HSA</w:t>
      </w:r>
      <w:r w:rsidRPr="002A6EC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.</w:t>
      </w:r>
    </w:p>
    <w:p w14:paraId="0FCA0DAF" w14:textId="77777777" w:rsidR="000C0A92" w:rsidRPr="004424B2" w:rsidRDefault="000C0A92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n-GB"/>
          <w14:ligatures w14:val="none"/>
        </w:rPr>
      </w:pPr>
    </w:p>
    <w:p w14:paraId="65E846CD" w14:textId="1663336C" w:rsidR="00C315D2" w:rsidRPr="004424B2" w:rsidRDefault="00B8473A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4424B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Conclusion</w:t>
      </w:r>
      <w:r w:rsidR="00C315D2" w:rsidRPr="004424B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.</w:t>
      </w:r>
      <w:r w:rsidR="00D40BB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The solubility of CBN was increased the most by HSA. The spray freeze dried CBN-HAS powder was amorphous, uniform in content, and stable </w:t>
      </w:r>
      <w:r w:rsidR="00EA69B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at</w:t>
      </w:r>
      <w:r w:rsidR="00D40BB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high humidity.</w:t>
      </w:r>
      <w:r w:rsidR="00E4035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4954B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It</w:t>
      </w:r>
      <w:r w:rsidR="00E4035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could be further developed into solid dosage forms for enhanced CBN delivery.</w:t>
      </w:r>
    </w:p>
    <w:p w14:paraId="1AF10CAD" w14:textId="77777777" w:rsidR="00C315D2" w:rsidRPr="004424B2" w:rsidRDefault="00C315D2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C801966" w14:textId="245B21CF" w:rsidR="00C315D2" w:rsidRPr="004424B2" w:rsidRDefault="00C315D2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4424B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References</w:t>
      </w:r>
      <w:r w:rsidR="00BC255C" w:rsidRPr="004424B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.</w:t>
      </w:r>
    </w:p>
    <w:p w14:paraId="495B1BA5" w14:textId="0F49DB02" w:rsidR="00C315D2" w:rsidRPr="004424B2" w:rsidRDefault="00C315D2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BC255C"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Arnold</w:t>
      </w:r>
      <w:r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, </w:t>
      </w:r>
      <w:r w:rsidR="00BC255C"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JC</w:t>
      </w:r>
      <w:r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. </w:t>
      </w:r>
      <w:r w:rsidR="00BC255C"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et al </w:t>
      </w:r>
      <w:r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(202</w:t>
      </w:r>
      <w:r w:rsidR="00BC255C"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4</w:t>
      </w:r>
      <w:r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BC255C"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Neuropsychopharmacology</w:t>
      </w:r>
      <w:r w:rsidR="00BC255C"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5</w:t>
      </w:r>
      <w:r w:rsidR="00BC255C"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0</w:t>
      </w:r>
      <w:r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:</w:t>
      </w:r>
      <w:r w:rsidR="00BC255C"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586–595</w:t>
      </w:r>
      <w:r w:rsidR="00BC255C"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.</w:t>
      </w:r>
    </w:p>
    <w:p w14:paraId="284EC63B" w14:textId="71178DE3" w:rsidR="00423A33" w:rsidRPr="004424B2" w:rsidRDefault="00C315D2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(2)</w:t>
      </w:r>
      <w:r w:rsidR="00423A33"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423A33"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Nicolaescu</w:t>
      </w:r>
      <w:r w:rsidR="00423A33"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, OE. et al (2025) Pharmaceutics 17:288.</w:t>
      </w:r>
    </w:p>
    <w:p w14:paraId="6D6B5259" w14:textId="3D96A544" w:rsidR="00B54E0D" w:rsidRPr="004424B2" w:rsidRDefault="0047247B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424B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(3) </w:t>
      </w:r>
      <w:r w:rsidR="00C80B38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Khoder</w:t>
      </w:r>
      <w:r w:rsidR="00C80B38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 M. et al (2016) International Journal of Pharmaceutics 515:740-748.</w:t>
      </w:r>
    </w:p>
    <w:p w14:paraId="0979F32D" w14:textId="0EF7F834" w:rsidR="00C80B38" w:rsidRPr="004424B2" w:rsidRDefault="00A9630D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(4) 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Khoder, M. et al (201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8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Pharmaceutical Development and Technology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23: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732-738.</w:t>
      </w:r>
    </w:p>
    <w:p w14:paraId="7CDC7421" w14:textId="15414B9D" w:rsidR="001270E7" w:rsidRPr="004424B2" w:rsidRDefault="001270E7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(5) Li, H. et al (2021) 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Journal of Molecular Liquids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334: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116070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323200A2" w14:textId="224DC0E6" w:rsidR="001270E7" w:rsidRPr="004424B2" w:rsidRDefault="00BC4DF2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(6) 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Santos Gomes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BF. et al (2025) </w:t>
      </w:r>
      <w:r w:rsidR="006C41B3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</w:t>
      </w: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AAPS Journal 27:30.</w:t>
      </w:r>
    </w:p>
    <w:p w14:paraId="580A3A4F" w14:textId="39B07940" w:rsidR="00A9630D" w:rsidRPr="004424B2" w:rsidRDefault="003F7CF6" w:rsidP="00B54E0D">
      <w:pPr>
        <w:adjustRightInd w:val="0"/>
        <w:snapToGrid w:val="0"/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(7) </w:t>
      </w:r>
      <w:r w:rsidR="002C47E6" w:rsidRPr="004424B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Tai, W. et al (2025) AAPS PharmSciTech 26:120.</w:t>
      </w:r>
    </w:p>
    <w:sectPr w:rsidR="00A9630D" w:rsidRPr="00442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27C1A"/>
    <w:rsid w:val="00037D49"/>
    <w:rsid w:val="000C0A92"/>
    <w:rsid w:val="000C2DAC"/>
    <w:rsid w:val="000C3FA2"/>
    <w:rsid w:val="000C5513"/>
    <w:rsid w:val="000C67E1"/>
    <w:rsid w:val="00107368"/>
    <w:rsid w:val="00113BB7"/>
    <w:rsid w:val="001270E7"/>
    <w:rsid w:val="00152B25"/>
    <w:rsid w:val="001A2249"/>
    <w:rsid w:val="001A6A20"/>
    <w:rsid w:val="001C5ACF"/>
    <w:rsid w:val="002017E6"/>
    <w:rsid w:val="00203D1A"/>
    <w:rsid w:val="00243EF3"/>
    <w:rsid w:val="00282999"/>
    <w:rsid w:val="00294059"/>
    <w:rsid w:val="002A2230"/>
    <w:rsid w:val="002A6EC1"/>
    <w:rsid w:val="002C47E6"/>
    <w:rsid w:val="002F40C5"/>
    <w:rsid w:val="0030790D"/>
    <w:rsid w:val="003206E4"/>
    <w:rsid w:val="00327B1E"/>
    <w:rsid w:val="00342327"/>
    <w:rsid w:val="0038783F"/>
    <w:rsid w:val="003A0392"/>
    <w:rsid w:val="003A6D5C"/>
    <w:rsid w:val="003B5CD4"/>
    <w:rsid w:val="003F7CF6"/>
    <w:rsid w:val="0040488B"/>
    <w:rsid w:val="00423A33"/>
    <w:rsid w:val="0043048E"/>
    <w:rsid w:val="004424B2"/>
    <w:rsid w:val="0047247B"/>
    <w:rsid w:val="004910AF"/>
    <w:rsid w:val="004954B0"/>
    <w:rsid w:val="004A51B6"/>
    <w:rsid w:val="004B445F"/>
    <w:rsid w:val="004C1A6B"/>
    <w:rsid w:val="004C429B"/>
    <w:rsid w:val="00510CF8"/>
    <w:rsid w:val="00514595"/>
    <w:rsid w:val="00522ED6"/>
    <w:rsid w:val="005519C3"/>
    <w:rsid w:val="00557FC3"/>
    <w:rsid w:val="00574D35"/>
    <w:rsid w:val="00575A29"/>
    <w:rsid w:val="005B5FE9"/>
    <w:rsid w:val="005E542F"/>
    <w:rsid w:val="005F4C7E"/>
    <w:rsid w:val="00600C07"/>
    <w:rsid w:val="00601754"/>
    <w:rsid w:val="006038D9"/>
    <w:rsid w:val="00621785"/>
    <w:rsid w:val="006227BC"/>
    <w:rsid w:val="006353BC"/>
    <w:rsid w:val="00652FB7"/>
    <w:rsid w:val="006625B2"/>
    <w:rsid w:val="006936C3"/>
    <w:rsid w:val="006A34BE"/>
    <w:rsid w:val="006C3F99"/>
    <w:rsid w:val="006C41B3"/>
    <w:rsid w:val="006D46D7"/>
    <w:rsid w:val="006F3F1C"/>
    <w:rsid w:val="007141F2"/>
    <w:rsid w:val="00721469"/>
    <w:rsid w:val="007227AD"/>
    <w:rsid w:val="00736E38"/>
    <w:rsid w:val="00746740"/>
    <w:rsid w:val="007561D8"/>
    <w:rsid w:val="0078730E"/>
    <w:rsid w:val="00795378"/>
    <w:rsid w:val="00796206"/>
    <w:rsid w:val="007C367E"/>
    <w:rsid w:val="008071C5"/>
    <w:rsid w:val="0081060F"/>
    <w:rsid w:val="00844F0B"/>
    <w:rsid w:val="008B4847"/>
    <w:rsid w:val="008C1B30"/>
    <w:rsid w:val="00903092"/>
    <w:rsid w:val="00905A42"/>
    <w:rsid w:val="00906D34"/>
    <w:rsid w:val="00917015"/>
    <w:rsid w:val="00933DC9"/>
    <w:rsid w:val="00936D4C"/>
    <w:rsid w:val="009523F9"/>
    <w:rsid w:val="00953BE1"/>
    <w:rsid w:val="00964F58"/>
    <w:rsid w:val="00965068"/>
    <w:rsid w:val="009650DF"/>
    <w:rsid w:val="00970785"/>
    <w:rsid w:val="009B1CBB"/>
    <w:rsid w:val="009E23EE"/>
    <w:rsid w:val="00A0516D"/>
    <w:rsid w:val="00A36657"/>
    <w:rsid w:val="00A878D9"/>
    <w:rsid w:val="00A923FE"/>
    <w:rsid w:val="00A9630D"/>
    <w:rsid w:val="00AB5B3B"/>
    <w:rsid w:val="00AC15B7"/>
    <w:rsid w:val="00AC6A1F"/>
    <w:rsid w:val="00AD143B"/>
    <w:rsid w:val="00AD6BA9"/>
    <w:rsid w:val="00AE3BC4"/>
    <w:rsid w:val="00B37060"/>
    <w:rsid w:val="00B4721D"/>
    <w:rsid w:val="00B54E0D"/>
    <w:rsid w:val="00B60793"/>
    <w:rsid w:val="00B643E8"/>
    <w:rsid w:val="00B75893"/>
    <w:rsid w:val="00B8473A"/>
    <w:rsid w:val="00BA585B"/>
    <w:rsid w:val="00BA7EF1"/>
    <w:rsid w:val="00BC255C"/>
    <w:rsid w:val="00BC34BE"/>
    <w:rsid w:val="00BC4DF2"/>
    <w:rsid w:val="00C04D52"/>
    <w:rsid w:val="00C07793"/>
    <w:rsid w:val="00C21815"/>
    <w:rsid w:val="00C315D2"/>
    <w:rsid w:val="00C353D8"/>
    <w:rsid w:val="00C401E8"/>
    <w:rsid w:val="00C554C5"/>
    <w:rsid w:val="00C80B38"/>
    <w:rsid w:val="00C85A07"/>
    <w:rsid w:val="00CC3ED3"/>
    <w:rsid w:val="00CF5A91"/>
    <w:rsid w:val="00D02BB1"/>
    <w:rsid w:val="00D24A0E"/>
    <w:rsid w:val="00D25851"/>
    <w:rsid w:val="00D40BBD"/>
    <w:rsid w:val="00D45A74"/>
    <w:rsid w:val="00D7428F"/>
    <w:rsid w:val="00DB2987"/>
    <w:rsid w:val="00DB7037"/>
    <w:rsid w:val="00DE5259"/>
    <w:rsid w:val="00E4035E"/>
    <w:rsid w:val="00EA62C0"/>
    <w:rsid w:val="00EA69B3"/>
    <w:rsid w:val="00EC3746"/>
    <w:rsid w:val="00ED2407"/>
    <w:rsid w:val="00EE29E8"/>
    <w:rsid w:val="00F00B4D"/>
    <w:rsid w:val="00F128DF"/>
    <w:rsid w:val="00F23C6D"/>
    <w:rsid w:val="00F251D6"/>
    <w:rsid w:val="00F539FB"/>
    <w:rsid w:val="00F56C7B"/>
    <w:rsid w:val="00F85528"/>
    <w:rsid w:val="00FC6625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70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Philip Kwok</cp:lastModifiedBy>
  <cp:revision>140</cp:revision>
  <dcterms:created xsi:type="dcterms:W3CDTF">2025-03-11T02:17:00Z</dcterms:created>
  <dcterms:modified xsi:type="dcterms:W3CDTF">2025-05-30T02:38:00Z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