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E1CA" w14:textId="1623B9F3" w:rsidR="006B1BBD" w:rsidRPr="005D4611" w:rsidRDefault="005D4611">
      <w:pPr>
        <w:rPr>
          <w:rFonts w:ascii="Calibri" w:hAnsi="Calibri" w:cs="Calibri"/>
          <w:b/>
          <w:bCs/>
          <w:sz w:val="20"/>
          <w:szCs w:val="20"/>
        </w:rPr>
      </w:pPr>
      <w:r w:rsidRPr="005D4611">
        <w:rPr>
          <w:rFonts w:ascii="Calibri" w:hAnsi="Calibri" w:cs="Calibri"/>
          <w:b/>
          <w:bCs/>
          <w:sz w:val="20"/>
          <w:szCs w:val="20"/>
        </w:rPr>
        <w:t>L-theanine reduces cellular senescence through the HAS2–NRF2 axis</w:t>
      </w:r>
    </w:p>
    <w:p w14:paraId="6FD1FD70" w14:textId="77777777" w:rsidR="005D4611" w:rsidRPr="005D4611" w:rsidRDefault="005D4611">
      <w:pPr>
        <w:rPr>
          <w:rFonts w:ascii="Calibri" w:hAnsi="Calibri" w:cs="Calibri"/>
          <w:sz w:val="20"/>
          <w:szCs w:val="20"/>
        </w:rPr>
      </w:pPr>
      <w:r w:rsidRPr="005D4611">
        <w:rPr>
          <w:rFonts w:ascii="Calibri" w:hAnsi="Calibri" w:cs="Calibri"/>
          <w:sz w:val="20"/>
          <w:szCs w:val="20"/>
        </w:rPr>
        <w:t>Bo-Hyun Choi</w:t>
      </w:r>
    </w:p>
    <w:p w14:paraId="7A398DB2" w14:textId="77777777" w:rsidR="005D4611" w:rsidRDefault="005D4611" w:rsidP="005D4611">
      <w:pPr>
        <w:adjustRightInd w:val="0"/>
        <w:snapToGrid w:val="0"/>
        <w:spacing w:after="0"/>
        <w:rPr>
          <w:rFonts w:ascii="Calibri" w:hAnsi="Calibri" w:cs="Calibri"/>
          <w:bCs/>
          <w:sz w:val="20"/>
          <w:szCs w:val="20"/>
        </w:rPr>
      </w:pPr>
      <w:r w:rsidRPr="005D4611">
        <w:rPr>
          <w:rFonts w:ascii="Calibri" w:hAnsi="Calibri" w:cs="Calibri"/>
          <w:bCs/>
          <w:sz w:val="20"/>
          <w:szCs w:val="20"/>
        </w:rPr>
        <w:t>Department of Pharmacology, School of Medicine, Daegu Catholic University, Daegu 42472, Republic of Korea</w:t>
      </w:r>
    </w:p>
    <w:p w14:paraId="49054BE5" w14:textId="77777777" w:rsidR="005D4611" w:rsidRPr="005D4611" w:rsidRDefault="005D4611" w:rsidP="005D4611">
      <w:pPr>
        <w:adjustRightInd w:val="0"/>
        <w:snapToGrid w:val="0"/>
        <w:spacing w:after="0"/>
        <w:rPr>
          <w:rFonts w:ascii="Calibri" w:hAnsi="Calibri" w:cs="Calibri"/>
          <w:bCs/>
          <w:sz w:val="20"/>
          <w:szCs w:val="20"/>
        </w:rPr>
      </w:pPr>
    </w:p>
    <w:p w14:paraId="0F6DF6FE" w14:textId="77777777" w:rsidR="005D4611" w:rsidRPr="005D4611" w:rsidRDefault="005D4611" w:rsidP="005D4611">
      <w:pPr>
        <w:rPr>
          <w:rFonts w:ascii="Calibri" w:hAnsi="Calibri" w:cs="Calibri"/>
          <w:sz w:val="20"/>
          <w:szCs w:val="20"/>
        </w:rPr>
      </w:pPr>
      <w:r w:rsidRPr="005D4611">
        <w:rPr>
          <w:rFonts w:ascii="Calibri" w:hAnsi="Calibri" w:cs="Calibri"/>
          <w:b/>
          <w:bCs/>
          <w:sz w:val="20"/>
          <w:szCs w:val="20"/>
        </w:rPr>
        <w:t>Introduction</w:t>
      </w:r>
      <w:r w:rsidRPr="005D4611">
        <w:rPr>
          <w:rFonts w:ascii="Calibri" w:hAnsi="Calibri" w:cs="Calibri"/>
          <w:sz w:val="20"/>
          <w:szCs w:val="20"/>
        </w:rPr>
        <w:br/>
        <w:t>Cellular senescence is a stable state of growth arrest in which cells lose their proliferative capacity while remaining viable, typically associated with aging. Natural compounds have attracted attention for their potential to alleviate senescence and restore suppressed cell growth.</w:t>
      </w:r>
    </w:p>
    <w:p w14:paraId="08A919E3" w14:textId="77777777" w:rsidR="005D4611" w:rsidRPr="005D4611" w:rsidRDefault="005D4611" w:rsidP="005D4611">
      <w:pPr>
        <w:rPr>
          <w:rFonts w:ascii="Calibri" w:hAnsi="Calibri" w:cs="Calibri"/>
          <w:sz w:val="20"/>
          <w:szCs w:val="20"/>
        </w:rPr>
      </w:pPr>
      <w:r w:rsidRPr="005D4611">
        <w:rPr>
          <w:rFonts w:ascii="Calibri" w:hAnsi="Calibri" w:cs="Calibri"/>
          <w:b/>
          <w:bCs/>
          <w:sz w:val="20"/>
          <w:szCs w:val="20"/>
        </w:rPr>
        <w:t>Aims</w:t>
      </w:r>
      <w:r w:rsidRPr="005D4611">
        <w:rPr>
          <w:rFonts w:ascii="Calibri" w:hAnsi="Calibri" w:cs="Calibri"/>
          <w:sz w:val="20"/>
          <w:szCs w:val="20"/>
        </w:rPr>
        <w:br/>
        <w:t>This study investigated whether L-theanine exerts anti-senescence effects in cellular models and explored the role of the HAS2–NFE2L2 (NRF2) axis in mediating these effects.</w:t>
      </w:r>
    </w:p>
    <w:p w14:paraId="5A52C200" w14:textId="77777777" w:rsidR="005D4611" w:rsidRPr="005D4611" w:rsidRDefault="005D4611" w:rsidP="005D4611">
      <w:pPr>
        <w:rPr>
          <w:rFonts w:ascii="Calibri" w:hAnsi="Calibri" w:cs="Calibri"/>
          <w:sz w:val="20"/>
          <w:szCs w:val="20"/>
        </w:rPr>
      </w:pPr>
      <w:r w:rsidRPr="005D4611">
        <w:rPr>
          <w:rFonts w:ascii="Calibri" w:hAnsi="Calibri" w:cs="Calibri"/>
          <w:b/>
          <w:bCs/>
          <w:sz w:val="20"/>
          <w:szCs w:val="20"/>
        </w:rPr>
        <w:t>Methods</w:t>
      </w:r>
      <w:r w:rsidRPr="005D4611">
        <w:rPr>
          <w:rFonts w:ascii="Calibri" w:hAnsi="Calibri" w:cs="Calibri"/>
          <w:sz w:val="20"/>
          <w:szCs w:val="20"/>
        </w:rPr>
        <w:br/>
        <w:t>Senescence was induced in vitro using cisplatin and tert-butyl hydroperoxide (t-BHP). Cells were treated with L-theanine, and senescence markers were assessed, including senescence-associated β-galactosidase (</w:t>
      </w:r>
      <w:proofErr w:type="gramStart"/>
      <w:r w:rsidRPr="005D4611">
        <w:rPr>
          <w:rFonts w:ascii="Calibri" w:hAnsi="Calibri" w:cs="Calibri"/>
          <w:sz w:val="20"/>
          <w:szCs w:val="20"/>
        </w:rPr>
        <w:t>SA-β-gal</w:t>
      </w:r>
      <w:proofErr w:type="gramEnd"/>
      <w:r w:rsidRPr="005D4611">
        <w:rPr>
          <w:rFonts w:ascii="Calibri" w:hAnsi="Calibri" w:cs="Calibri"/>
          <w:sz w:val="20"/>
          <w:szCs w:val="20"/>
        </w:rPr>
        <w:t>) activity, reactive oxygen species levels, cell cycle arrest, and inflammatory gene expression. Expression of HAS2 and NFE2L2 was measured by qPCR and immunoblotting. Hyaluronic acid supplementation and NRF2 knockdown experiments were performed to assess the mechanistic pathway.</w:t>
      </w:r>
    </w:p>
    <w:p w14:paraId="33E95E1B" w14:textId="77777777" w:rsidR="005D4611" w:rsidRPr="005D4611" w:rsidRDefault="005D4611" w:rsidP="005D4611">
      <w:pPr>
        <w:rPr>
          <w:rFonts w:ascii="Calibri" w:hAnsi="Calibri" w:cs="Calibri"/>
          <w:sz w:val="20"/>
          <w:szCs w:val="20"/>
        </w:rPr>
      </w:pPr>
      <w:r w:rsidRPr="005D4611">
        <w:rPr>
          <w:rFonts w:ascii="Calibri" w:hAnsi="Calibri" w:cs="Calibri"/>
          <w:b/>
          <w:bCs/>
          <w:sz w:val="20"/>
          <w:szCs w:val="20"/>
        </w:rPr>
        <w:t>Results</w:t>
      </w:r>
      <w:r w:rsidRPr="005D4611">
        <w:rPr>
          <w:rFonts w:ascii="Calibri" w:hAnsi="Calibri" w:cs="Calibri"/>
          <w:sz w:val="20"/>
          <w:szCs w:val="20"/>
        </w:rPr>
        <w:br/>
        <w:t xml:space="preserve">L-theanine significantly reduced SA-β-gal activity, oxidative stress, cell cycle arrest, and inflammation-related gene expression in both senescence models. L-theanine increased HAS2 and NRF2 expression. Hyaluronic acid treatment enhanced NRF2 expression, supporting HAS2 as an upstream regulator. Although L-theanine </w:t>
      </w:r>
      <w:r w:rsidRPr="005D4611">
        <w:rPr>
          <w:rFonts w:ascii="Calibri" w:hAnsi="Calibri" w:cs="Calibri"/>
          <w:sz w:val="20"/>
          <w:szCs w:val="20"/>
        </w:rPr>
        <w:lastRenderedPageBreak/>
        <w:t>elevated HAS2 expression in NRF2-knockdown cells, alleviation of senescence markers was not observed under these conditions, indicating NRF2 dependency.</w:t>
      </w:r>
    </w:p>
    <w:p w14:paraId="1ACBFF10" w14:textId="77777777" w:rsidR="005D4611" w:rsidRPr="005D4611" w:rsidRDefault="005D4611" w:rsidP="005D4611">
      <w:pPr>
        <w:rPr>
          <w:rFonts w:ascii="Calibri" w:hAnsi="Calibri" w:cs="Calibri"/>
          <w:sz w:val="20"/>
          <w:szCs w:val="20"/>
        </w:rPr>
      </w:pPr>
      <w:r w:rsidRPr="005D4611">
        <w:rPr>
          <w:rFonts w:ascii="Calibri" w:hAnsi="Calibri" w:cs="Calibri"/>
          <w:b/>
          <w:bCs/>
          <w:sz w:val="20"/>
          <w:szCs w:val="20"/>
        </w:rPr>
        <w:t>Discussion</w:t>
      </w:r>
      <w:r w:rsidRPr="005D4611">
        <w:rPr>
          <w:rFonts w:ascii="Calibri" w:hAnsi="Calibri" w:cs="Calibri"/>
          <w:sz w:val="20"/>
          <w:szCs w:val="20"/>
        </w:rPr>
        <w:br/>
        <w:t>L-theanine exerts anti-senescence effects by activating the HAS2–hyaluronic acid–NRF2 axis, leading to upregulation of NRF2 and its downstream antioxidant genes. These findings highlight L-theanine as a novel anti-senescence compound with a distinct mechanism involving HAS2-mediated NRF2 activation.</w:t>
      </w:r>
    </w:p>
    <w:p w14:paraId="78FFB377" w14:textId="77777777" w:rsidR="005D4611" w:rsidRPr="005D4611" w:rsidRDefault="005D4611">
      <w:pPr>
        <w:rPr>
          <w:rFonts w:ascii="Calibri" w:hAnsi="Calibri" w:cs="Calibri"/>
          <w:sz w:val="20"/>
          <w:szCs w:val="20"/>
        </w:rPr>
      </w:pPr>
    </w:p>
    <w:sectPr w:rsidR="005D4611" w:rsidRPr="005D4611" w:rsidSect="005D4611">
      <w:pgSz w:w="8391" w:h="11906" w:code="11"/>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11"/>
    <w:rsid w:val="000109D8"/>
    <w:rsid w:val="00334DEB"/>
    <w:rsid w:val="004A3C66"/>
    <w:rsid w:val="004F145E"/>
    <w:rsid w:val="005D4611"/>
    <w:rsid w:val="006B1BBD"/>
    <w:rsid w:val="00AC7E1A"/>
    <w:rsid w:val="00B57B8F"/>
    <w:rsid w:val="00F942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07B2"/>
  <w15:chartTrackingRefBased/>
  <w15:docId w15:val="{71304139-F1DE-4B83-A37A-DC18A91C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D46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D46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D46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D46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D46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D46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D46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D46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D46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D461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D461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D461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D461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D461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D461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D461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D461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D461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D461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D46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4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D461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D4611"/>
    <w:pPr>
      <w:spacing w:before="160"/>
      <w:jc w:val="center"/>
    </w:pPr>
    <w:rPr>
      <w:i/>
      <w:iCs/>
      <w:color w:val="404040" w:themeColor="text1" w:themeTint="BF"/>
    </w:rPr>
  </w:style>
  <w:style w:type="character" w:customStyle="1" w:styleId="Char1">
    <w:name w:val="인용 Char"/>
    <w:basedOn w:val="a0"/>
    <w:link w:val="a5"/>
    <w:uiPriority w:val="29"/>
    <w:rsid w:val="005D4611"/>
    <w:rPr>
      <w:i/>
      <w:iCs/>
      <w:color w:val="404040" w:themeColor="text1" w:themeTint="BF"/>
    </w:rPr>
  </w:style>
  <w:style w:type="paragraph" w:styleId="a6">
    <w:name w:val="List Paragraph"/>
    <w:basedOn w:val="a"/>
    <w:uiPriority w:val="34"/>
    <w:qFormat/>
    <w:rsid w:val="005D4611"/>
    <w:pPr>
      <w:ind w:left="720"/>
      <w:contextualSpacing/>
    </w:pPr>
  </w:style>
  <w:style w:type="character" w:styleId="a7">
    <w:name w:val="Intense Emphasis"/>
    <w:basedOn w:val="a0"/>
    <w:uiPriority w:val="21"/>
    <w:qFormat/>
    <w:rsid w:val="005D4611"/>
    <w:rPr>
      <w:i/>
      <w:iCs/>
      <w:color w:val="0F4761" w:themeColor="accent1" w:themeShade="BF"/>
    </w:rPr>
  </w:style>
  <w:style w:type="paragraph" w:styleId="a8">
    <w:name w:val="Intense Quote"/>
    <w:basedOn w:val="a"/>
    <w:next w:val="a"/>
    <w:link w:val="Char2"/>
    <w:uiPriority w:val="30"/>
    <w:qFormat/>
    <w:rsid w:val="005D4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D4611"/>
    <w:rPr>
      <w:i/>
      <w:iCs/>
      <w:color w:val="0F4761" w:themeColor="accent1" w:themeShade="BF"/>
    </w:rPr>
  </w:style>
  <w:style w:type="character" w:styleId="a9">
    <w:name w:val="Intense Reference"/>
    <w:basedOn w:val="a0"/>
    <w:uiPriority w:val="32"/>
    <w:qFormat/>
    <w:rsid w:val="005D46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최보현</dc:creator>
  <cp:keywords/>
  <dc:description/>
  <cp:lastModifiedBy>최보현</cp:lastModifiedBy>
  <cp:revision>1</cp:revision>
  <dcterms:created xsi:type="dcterms:W3CDTF">2025-09-12T06:46:00Z</dcterms:created>
  <dcterms:modified xsi:type="dcterms:W3CDTF">2025-09-12T06:49:00Z</dcterms:modified>
</cp:coreProperties>
</file>