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B0DD" w14:textId="1500FA8E" w:rsidR="006802FD" w:rsidRPr="006802FD" w:rsidRDefault="000273C1" w:rsidP="006802FD">
      <w:pPr>
        <w:pStyle w:val="ICLGG201701Title"/>
        <w:jc w:val="center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NF-Ys </w:t>
      </w:r>
      <w:r w:rsidR="0062658A">
        <w:rPr>
          <w:rFonts w:ascii="Times New Roman" w:hAnsi="Times New Roman" w:cs="Times New Roman"/>
          <w:bCs/>
          <w:sz w:val="28"/>
          <w:szCs w:val="28"/>
          <w:lang w:val="en-GB"/>
        </w:rPr>
        <w:t>affect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iron and 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nitrate 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homeostasis in </w:t>
      </w:r>
      <w:r w:rsidRPr="000273C1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Medicago </w:t>
      </w:r>
      <w:proofErr w:type="gramStart"/>
      <w:r w:rsidRPr="000273C1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truncatula</w:t>
      </w:r>
      <w:proofErr w:type="gramEnd"/>
    </w:p>
    <w:p w14:paraId="51C448CB" w14:textId="4944749E" w:rsidR="009126C6" w:rsidRPr="006802FD" w:rsidRDefault="009126C6" w:rsidP="009126C6">
      <w:pPr>
        <w:pStyle w:val="ICLGG201701Title"/>
        <w:rPr>
          <w:rFonts w:ascii="Times New Roman" w:hAnsi="Times New Roman" w:cs="Times New Roman"/>
          <w:lang w:val="en-GB"/>
        </w:rPr>
      </w:pPr>
    </w:p>
    <w:p w14:paraId="3C3D9C60" w14:textId="12541614" w:rsidR="006802FD" w:rsidRPr="006802FD" w:rsidRDefault="000273C1" w:rsidP="006802FD">
      <w:pPr>
        <w:pStyle w:val="ICLGG201702Authors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Wang J.</w:t>
      </w:r>
      <w:r w:rsidR="006802FD" w:rsidRPr="006802F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6802FD" w:rsidRPr="006802F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Xiao Q.</w:t>
      </w:r>
      <w:r w:rsidR="0062658A" w:rsidRPr="006802F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6802FD" w:rsidRPr="006802F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148DC">
        <w:rPr>
          <w:rFonts w:ascii="Times New Roman" w:hAnsi="Times New Roman" w:cs="Times New Roman"/>
          <w:sz w:val="24"/>
          <w:szCs w:val="24"/>
          <w:lang w:val="en-GB"/>
        </w:rPr>
        <w:t>Gao, J.P.</w:t>
      </w:r>
      <w:r w:rsidR="00B148DC" w:rsidRPr="00B148D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B148DC" w:rsidRPr="006802F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B148D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802FD" w:rsidRPr="006802FD">
        <w:rPr>
          <w:rFonts w:ascii="Times New Roman" w:hAnsi="Times New Roman" w:cs="Times New Roman" w:hint="eastAsia"/>
          <w:sz w:val="24"/>
          <w:szCs w:val="24"/>
          <w:lang w:val="en-GB"/>
        </w:rPr>
        <w:t>Xu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P.</w:t>
      </w:r>
      <w:r w:rsidR="0062658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6802FD" w:rsidRPr="006802FD">
        <w:rPr>
          <w:rFonts w:ascii="Times New Roman" w:hAnsi="Times New Roman" w:cs="Times New Roman" w:hint="eastAsia"/>
          <w:sz w:val="24"/>
          <w:szCs w:val="24"/>
          <w:lang w:val="en-GB"/>
        </w:rPr>
        <w:t>,</w:t>
      </w:r>
      <w:r w:rsidR="006802FD" w:rsidRPr="006802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09B0">
        <w:rPr>
          <w:rFonts w:ascii="Times New Roman" w:hAnsi="Times New Roman" w:cs="Times New Roman"/>
          <w:sz w:val="24"/>
          <w:szCs w:val="24"/>
          <w:lang w:val="en-GB"/>
        </w:rPr>
        <w:t>Cousins D.</w:t>
      </w:r>
      <w:r w:rsidR="005909B0" w:rsidRPr="005909B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="005909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6802FD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Murray </w:t>
      </w:r>
      <w:r w:rsidR="006802FD" w:rsidRPr="006802FD">
        <w:rPr>
          <w:rFonts w:ascii="Times New Roman" w:hAnsi="Times New Roman" w:cs="Times New Roman"/>
          <w:sz w:val="24"/>
          <w:szCs w:val="24"/>
          <w:u w:val="single"/>
          <w:lang w:val="en-GB"/>
        </w:rPr>
        <w:t>J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.</w:t>
      </w:r>
      <w:r w:rsidR="006802FD" w:rsidRPr="006802FD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EF6B8A" w:rsidRPr="00EF6B8A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D. </w:t>
      </w:r>
      <w:r w:rsidR="006802FD" w:rsidRPr="006802F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*1</w:t>
      </w:r>
      <w:r w:rsidR="006802F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,</w:t>
      </w:r>
      <w:r w:rsidR="0062658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</w:p>
    <w:p w14:paraId="3A07A90B" w14:textId="59F78026" w:rsidR="009126C6" w:rsidRDefault="009126C6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574C8CDD" w:rsidR="005C7608" w:rsidRPr="005C7608" w:rsidRDefault="000273C1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jeremy.murray@jic.ac.uk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0AD9E2C5" w14:textId="6EE3D18D" w:rsidR="006802FD" w:rsidRDefault="006802FD" w:rsidP="006802FD">
      <w:pPr>
        <w:pStyle w:val="ICLGG201704Body"/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t-IT"/>
        </w:rPr>
        <w:t xml:space="preserve">1.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t-IT"/>
        </w:rPr>
        <w:tab/>
      </w:r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CAS-JIC Centre of </w:t>
      </w:r>
      <w:proofErr w:type="spellStart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Excellence</w:t>
      </w:r>
      <w:proofErr w:type="spellEnd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for Plant and </w:t>
      </w:r>
      <w:proofErr w:type="spellStart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Microbial</w:t>
      </w:r>
      <w:proofErr w:type="spellEnd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Science (CEPAMS), Centre for </w:t>
      </w:r>
      <w:proofErr w:type="spellStart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Excellence</w:t>
      </w:r>
      <w:proofErr w:type="spellEnd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in </w:t>
      </w:r>
      <w:proofErr w:type="spellStart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Molecular</w:t>
      </w:r>
      <w:proofErr w:type="spellEnd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Plant Sciences (CEMPS), Shanghai Institute of Plant </w:t>
      </w:r>
      <w:proofErr w:type="spellStart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Physiology</w:t>
      </w:r>
      <w:proofErr w:type="spellEnd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and </w:t>
      </w:r>
      <w:proofErr w:type="spellStart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Ecology</w:t>
      </w:r>
      <w:proofErr w:type="spellEnd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(SIPPE), </w:t>
      </w:r>
      <w:proofErr w:type="spellStart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Chinese</w:t>
      </w:r>
      <w:proofErr w:type="spellEnd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Academy of Sciences, China.</w:t>
      </w:r>
    </w:p>
    <w:p w14:paraId="4BF271C8" w14:textId="2819D5F5" w:rsidR="00EF6B8A" w:rsidRPr="000273C1" w:rsidRDefault="006802FD" w:rsidP="00EF6B8A">
      <w:pPr>
        <w:pStyle w:val="ICLGG201704Body"/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t-IT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t-IT"/>
        </w:rPr>
        <w:tab/>
      </w:r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Shanghai Engineering </w:t>
      </w:r>
      <w:proofErr w:type="spellStart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Research</w:t>
      </w:r>
      <w:proofErr w:type="spellEnd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Center of Plant </w:t>
      </w:r>
      <w:proofErr w:type="spellStart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Germplasm</w:t>
      </w:r>
      <w:proofErr w:type="spellEnd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Resource, College of Life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Sciences, Shanghai </w:t>
      </w:r>
      <w:proofErr w:type="spellStart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Normal</w:t>
      </w:r>
      <w:proofErr w:type="spellEnd"/>
      <w:r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University, Shanghai 200234, China</w:t>
      </w:r>
    </w:p>
    <w:p w14:paraId="070055F9" w14:textId="60B66B75" w:rsidR="006802FD" w:rsidRDefault="0062658A" w:rsidP="00EF6B8A">
      <w:pPr>
        <w:pStyle w:val="ICLGG201704Body"/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t-IT"/>
        </w:rPr>
        <w:t>3</w:t>
      </w:r>
      <w:r w:rsidR="00EF6B8A" w:rsidRPr="006802FD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t-IT"/>
        </w:rPr>
        <w:t>.</w:t>
      </w:r>
      <w:r w:rsidR="00EF6B8A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t-IT"/>
        </w:rPr>
        <w:tab/>
      </w:r>
      <w:r w:rsidR="006802FD"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John </w:t>
      </w:r>
      <w:proofErr w:type="spellStart"/>
      <w:r w:rsidR="006802FD"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Innes</w:t>
      </w:r>
      <w:proofErr w:type="spellEnd"/>
      <w:r w:rsidR="006802FD"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Centre, Norwich </w:t>
      </w:r>
      <w:proofErr w:type="spellStart"/>
      <w:r w:rsidR="006802FD"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>Research</w:t>
      </w:r>
      <w:proofErr w:type="spellEnd"/>
      <w:r w:rsidR="006802FD" w:rsidRPr="006802F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Park, Norwich, NR4 7UH, UK</w:t>
      </w:r>
    </w:p>
    <w:p w14:paraId="740171DE" w14:textId="6E337C72" w:rsidR="005C7608" w:rsidRPr="006802FD" w:rsidRDefault="006802FD" w:rsidP="006802FD">
      <w:pPr>
        <w:pStyle w:val="ICLGG201704Body"/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t-IT"/>
        </w:rPr>
        <w:tab/>
      </w:r>
    </w:p>
    <w:p w14:paraId="6D7C0549" w14:textId="5966002C" w:rsidR="000273C1" w:rsidRPr="000273C1" w:rsidRDefault="000273C1" w:rsidP="00A9440A">
      <w:pPr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>Most legume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can interact with beneficial N-fixing bacteria called rhizobia.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Shortly after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contact with the rhizobia, components of the heterotrimeric </w:t>
      </w:r>
      <w:r w:rsidRPr="000273C1">
        <w:rPr>
          <w:rFonts w:ascii="Times New Roman" w:hAnsi="Times New Roman" w:cs="Times New Roman"/>
          <w:bCs/>
          <w:sz w:val="24"/>
          <w:szCs w:val="24"/>
          <w:lang w:val="en-US" w:eastAsia="en-AU"/>
        </w:rPr>
        <w:t>Nuclear Factor Y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(</w:t>
      </w:r>
      <w:r w:rsidRPr="000273C1">
        <w:rPr>
          <w:rFonts w:ascii="Times New Roman" w:hAnsi="Times New Roman" w:cs="Times New Roman"/>
          <w:bCs/>
          <w:sz w:val="24"/>
          <w:szCs w:val="24"/>
          <w:lang w:val="en-US" w:eastAsia="en-AU"/>
        </w:rPr>
        <w:t>NF-Y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>)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>transcription factor complex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comprised of A, B and C subunits, 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are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induced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 the 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roots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of the host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In </w:t>
      </w:r>
      <w:r w:rsidRPr="000273C1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Medicago truncatula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these subunits are encoded by multiple genes, </w:t>
      </w:r>
      <w:r w:rsidR="003766F6" w:rsidRPr="003766F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8 </w:t>
      </w:r>
      <w:r w:rsidR="003766F6" w:rsidRPr="003766F6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NF-</w:t>
      </w:r>
      <w:r w:rsidR="003766F6" w:rsidRPr="003766F6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YA</w:t>
      </w:r>
      <w:r w:rsidR="003766F6" w:rsidRPr="003766F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s, 19 </w:t>
      </w:r>
      <w:r w:rsidR="003766F6" w:rsidRPr="003766F6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NF-</w:t>
      </w:r>
      <w:r w:rsidR="003766F6" w:rsidRPr="003766F6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YB</w:t>
      </w:r>
      <w:r w:rsidR="003766F6" w:rsidRPr="003766F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 and 11 </w:t>
      </w:r>
      <w:r w:rsidR="003766F6" w:rsidRPr="003766F6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NF-</w:t>
      </w:r>
      <w:r w:rsidR="003766F6" w:rsidRPr="003766F6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YC</w:t>
      </w:r>
      <w:r w:rsidR="003766F6" w:rsidRPr="003766F6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of which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BD713C" w:rsidRPr="003766F6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NF-YA1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has 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been 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>implicated in rhizobial infection and nodule formation</w:t>
      </w:r>
      <w:r w:rsidR="002B79F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2658A">
        <w:rPr>
          <w:rFonts w:ascii="Times New Roman" w:hAnsi="Times New Roman" w:cs="Times New Roman"/>
          <w:sz w:val="24"/>
          <w:szCs w:val="24"/>
          <w:lang w:val="en-US" w:eastAsia="en-AU"/>
        </w:rPr>
        <w:t>[1]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We investigated the role of </w:t>
      </w:r>
      <w:r w:rsidR="00BD713C" w:rsidRPr="0062658A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NF-YB7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which is induced in </w:t>
      </w:r>
      <w:r w:rsidR="00BD713C" w:rsidRPr="00BD713C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M. truncatula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root hairs in response to rhizobia and Nod factors </w:t>
      </w:r>
      <w:r w:rsidR="0062658A">
        <w:rPr>
          <w:rFonts w:ascii="Times New Roman" w:hAnsi="Times New Roman" w:cs="Times New Roman"/>
          <w:sz w:val="24"/>
          <w:szCs w:val="24"/>
          <w:lang w:val="en-US" w:eastAsia="en-AU"/>
        </w:rPr>
        <w:t>[2]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We determined that 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NF-YB7 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can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interact with NF-YA1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and that 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loss of NF-YB7 reduced the formation of rhizobial infection threads. 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Contrary to expectation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 w:rsidR="008850E9" w:rsidRPr="00BD713C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M. truncatula</w:t>
      </w:r>
      <w:r w:rsidR="008850E9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 xml:space="preserve"> 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roots 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>overexpressi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ng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NF-YA1 and NF-YB7 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(</w:t>
      </w:r>
      <w:proofErr w:type="spellStart"/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NFYox</w:t>
      </w:r>
      <w:proofErr w:type="spellEnd"/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)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showed </w:t>
      </w:r>
      <w:r w:rsidR="00BD713C" w:rsidRPr="00BD713C">
        <w:rPr>
          <w:rFonts w:ascii="Times New Roman" w:hAnsi="Times New Roman" w:cs="Times New Roman"/>
          <w:sz w:val="24"/>
          <w:szCs w:val="24"/>
          <w:lang w:val="en-US" w:eastAsia="en-AU"/>
        </w:rPr>
        <w:t>suppressed nodule formation.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2B79F9">
        <w:rPr>
          <w:rFonts w:ascii="Times New Roman" w:hAnsi="Times New Roman" w:cs="Times New Roman"/>
          <w:sz w:val="24"/>
          <w:szCs w:val="24"/>
          <w:lang w:val="en-US" w:eastAsia="en-AU"/>
        </w:rPr>
        <w:t>I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>nvestigated</w:t>
      </w:r>
      <w:r w:rsidR="002B79F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of</w:t>
      </w:r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this phenomenon using </w:t>
      </w:r>
      <w:proofErr w:type="spellStart"/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>RNAseq</w:t>
      </w:r>
      <w:proofErr w:type="spellEnd"/>
      <w:r w:rsidR="00BD713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revealed th</w:t>
      </w:r>
      <w:r w:rsidR="00573C7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at 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abscisic acid signaling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is activated in </w:t>
      </w:r>
      <w:proofErr w:type="spellStart"/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NFYox</w:t>
      </w:r>
      <w:proofErr w:type="spellEnd"/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roots</w:t>
      </w:r>
      <w:r w:rsidR="00573C7D" w:rsidRPr="00573C7D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  <w:r w:rsidR="00573C7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 addition, </w:t>
      </w:r>
      <w:proofErr w:type="spellStart"/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NFY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ox</w:t>
      </w:r>
      <w:proofErr w:type="spellEnd"/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573C7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roots showed increased expression of </w:t>
      </w:r>
      <w:r w:rsidR="00573C7D" w:rsidRPr="00B0001A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Ferritin</w:t>
      </w:r>
      <w:r w:rsidR="00573C7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deregulation of </w:t>
      </w:r>
      <w:r w:rsidR="00B0001A">
        <w:rPr>
          <w:rFonts w:ascii="Times New Roman" w:hAnsi="Times New Roman" w:cs="Times New Roman"/>
          <w:sz w:val="24"/>
          <w:szCs w:val="24"/>
          <w:lang w:val="en-US" w:eastAsia="en-AU"/>
        </w:rPr>
        <w:t>other iron related genes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, and accumulated iron</w:t>
      </w:r>
      <w:r w:rsidR="00B0001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Genes 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involved</w:t>
      </w:r>
      <w:r w:rsidR="00B0001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nitrate uptake and nitrate signaling were 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strongly</w:t>
      </w:r>
      <w:r w:rsidR="00B0001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repressed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2658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in </w:t>
      </w:r>
      <w:proofErr w:type="spellStart"/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NFYox</w:t>
      </w:r>
      <w:proofErr w:type="spellEnd"/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roots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, and c</w:t>
      </w:r>
      <w:r w:rsidR="00B0001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omparison with </w:t>
      </w:r>
      <w:proofErr w:type="spellStart"/>
      <w:r w:rsidR="00B0001A">
        <w:rPr>
          <w:rFonts w:ascii="Times New Roman" w:hAnsi="Times New Roman" w:cs="Times New Roman"/>
          <w:sz w:val="24"/>
          <w:szCs w:val="24"/>
          <w:lang w:val="en-US" w:eastAsia="en-AU"/>
        </w:rPr>
        <w:t>ChIP</w:t>
      </w:r>
      <w:proofErr w:type="spellEnd"/>
      <w:r w:rsidR="00B0001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-seq data revealed 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that amongst these, </w:t>
      </w:r>
      <w:r w:rsidR="00A9440A" w:rsidRPr="00A9440A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NIN-like protein 1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</w:t>
      </w:r>
      <w:r w:rsidR="00A9440A" w:rsidRPr="00A9440A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Nitrate Transporter 1.1B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were direct targets. 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Co-expression of the ABA degrading enzyme CYP707A restored the ability of </w:t>
      </w:r>
      <w:proofErr w:type="spellStart"/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NFY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ox</w:t>
      </w:r>
      <w:proofErr w:type="spellEnd"/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roots to nodulate. 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>Our results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suggest that ABA 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may 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serve as a negative feedback mechanism directly downstream of the </w:t>
      </w:r>
      <w:r w:rsidR="002B79F9">
        <w:rPr>
          <w:rFonts w:ascii="Times New Roman" w:hAnsi="Times New Roman" w:cs="Times New Roman"/>
          <w:sz w:val="24"/>
          <w:szCs w:val="24"/>
          <w:lang w:val="en-US" w:eastAsia="en-AU"/>
        </w:rPr>
        <w:t>NF-Ys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during nodulation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reveal</w:t>
      </w:r>
      <w:r w:rsidR="008850E9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="00A9440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 potential role for 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>NF-Ys in alleviating nitrate's negative effect on nodulation</w:t>
      </w:r>
      <w:r w:rsidR="002B79F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in </w:t>
      </w:r>
      <w:r w:rsidR="002B79F9">
        <w:rPr>
          <w:rFonts w:ascii="Times New Roman" w:hAnsi="Times New Roman" w:cs="Times New Roman"/>
          <w:sz w:val="24"/>
          <w:szCs w:val="24"/>
          <w:lang w:val="en-US" w:eastAsia="en-AU"/>
        </w:rPr>
        <w:t>nodule</w:t>
      </w:r>
      <w:r w:rsidR="002B79F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iron homeostasis</w:t>
      </w:r>
      <w:r w:rsidRPr="000273C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</w:p>
    <w:p w14:paraId="26048F59" w14:textId="77777777" w:rsidR="00234A08" w:rsidRPr="000273C1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053AA638" w:rsidR="009126C6" w:rsidRPr="0069354D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proofErr w:type="spellStart"/>
      <w:r w:rsidR="002B79F9" w:rsidRPr="002B79F9">
        <w:t>Laloum</w:t>
      </w:r>
      <w:proofErr w:type="spellEnd"/>
      <w:r w:rsidR="002B79F9" w:rsidRPr="002B79F9">
        <w:t xml:space="preserve"> T</w:t>
      </w:r>
      <w:r w:rsidR="0062658A">
        <w:t>.</w:t>
      </w:r>
      <w:r w:rsidR="002B79F9" w:rsidRPr="002B79F9">
        <w:t xml:space="preserve">, </w:t>
      </w:r>
      <w:proofErr w:type="spellStart"/>
      <w:r w:rsidR="002B79F9" w:rsidRPr="002B79F9">
        <w:t>et</w:t>
      </w:r>
      <w:proofErr w:type="spellEnd"/>
      <w:r w:rsidR="002B79F9" w:rsidRPr="002B79F9">
        <w:t xml:space="preserve"> </w:t>
      </w:r>
      <w:proofErr w:type="spellStart"/>
      <w:r w:rsidR="002B79F9" w:rsidRPr="002B79F9">
        <w:t>al</w:t>
      </w:r>
      <w:proofErr w:type="spellEnd"/>
      <w:r w:rsidR="002B79F9" w:rsidRPr="002B79F9">
        <w:t xml:space="preserve">. </w:t>
      </w:r>
      <w:proofErr w:type="spellStart"/>
      <w:r w:rsidR="002B79F9" w:rsidRPr="002B79F9">
        <w:t>Two</w:t>
      </w:r>
      <w:proofErr w:type="spellEnd"/>
      <w:r w:rsidR="002B79F9" w:rsidRPr="002B79F9">
        <w:t xml:space="preserve"> CCAAT-</w:t>
      </w:r>
      <w:proofErr w:type="spellStart"/>
      <w:r w:rsidR="002B79F9" w:rsidRPr="002B79F9">
        <w:t>box</w:t>
      </w:r>
      <w:proofErr w:type="spellEnd"/>
      <w:r w:rsidR="002B79F9" w:rsidRPr="002B79F9">
        <w:t>-</w:t>
      </w:r>
      <w:proofErr w:type="spellStart"/>
      <w:r w:rsidR="002B79F9" w:rsidRPr="002B79F9">
        <w:t>binding</w:t>
      </w:r>
      <w:proofErr w:type="spellEnd"/>
      <w:r w:rsidR="002B79F9" w:rsidRPr="002B79F9">
        <w:t xml:space="preserve"> </w:t>
      </w:r>
      <w:proofErr w:type="spellStart"/>
      <w:r w:rsidR="002B79F9" w:rsidRPr="002B79F9">
        <w:t>transcription</w:t>
      </w:r>
      <w:proofErr w:type="spellEnd"/>
      <w:r w:rsidR="002B79F9" w:rsidRPr="002B79F9">
        <w:t xml:space="preserve"> </w:t>
      </w:r>
      <w:proofErr w:type="spellStart"/>
      <w:r w:rsidR="002B79F9" w:rsidRPr="002B79F9">
        <w:t>factors</w:t>
      </w:r>
      <w:proofErr w:type="spellEnd"/>
      <w:r w:rsidR="002B79F9" w:rsidRPr="002B79F9">
        <w:t xml:space="preserve"> </w:t>
      </w:r>
      <w:proofErr w:type="spellStart"/>
      <w:r w:rsidR="002B79F9" w:rsidRPr="002B79F9">
        <w:t>redundantly</w:t>
      </w:r>
      <w:proofErr w:type="spellEnd"/>
      <w:r w:rsidR="002B79F9" w:rsidRPr="002B79F9">
        <w:t xml:space="preserve"> </w:t>
      </w:r>
      <w:proofErr w:type="spellStart"/>
      <w:r w:rsidR="002B79F9" w:rsidRPr="002B79F9">
        <w:t>regulate</w:t>
      </w:r>
      <w:proofErr w:type="spellEnd"/>
      <w:r w:rsidR="002B79F9" w:rsidRPr="002B79F9">
        <w:t xml:space="preserve"> </w:t>
      </w:r>
      <w:proofErr w:type="spellStart"/>
      <w:r w:rsidR="002B79F9" w:rsidRPr="002B79F9">
        <w:t>early</w:t>
      </w:r>
      <w:proofErr w:type="spellEnd"/>
      <w:r w:rsidR="002B79F9" w:rsidRPr="002B79F9">
        <w:t xml:space="preserve"> </w:t>
      </w:r>
      <w:proofErr w:type="spellStart"/>
      <w:r w:rsidR="002B79F9" w:rsidRPr="002B79F9">
        <w:t>steps</w:t>
      </w:r>
      <w:proofErr w:type="spellEnd"/>
      <w:r w:rsidR="002B79F9" w:rsidRPr="002B79F9">
        <w:t xml:space="preserve"> of </w:t>
      </w:r>
      <w:proofErr w:type="spellStart"/>
      <w:r w:rsidR="002B79F9" w:rsidRPr="002B79F9">
        <w:t>the</w:t>
      </w:r>
      <w:proofErr w:type="spellEnd"/>
      <w:r w:rsidR="002B79F9" w:rsidRPr="002B79F9">
        <w:t xml:space="preserve"> </w:t>
      </w:r>
      <w:proofErr w:type="spellStart"/>
      <w:r w:rsidR="002B79F9" w:rsidRPr="002B79F9">
        <w:t>legume-rhizobia</w:t>
      </w:r>
      <w:proofErr w:type="spellEnd"/>
      <w:r w:rsidR="002B79F9" w:rsidRPr="002B79F9">
        <w:t xml:space="preserve"> </w:t>
      </w:r>
      <w:proofErr w:type="spellStart"/>
      <w:r w:rsidR="002B79F9" w:rsidRPr="002B79F9">
        <w:t>endosymbiosis</w:t>
      </w:r>
      <w:proofErr w:type="spellEnd"/>
      <w:r w:rsidR="002B79F9" w:rsidRPr="002B79F9">
        <w:t xml:space="preserve">. </w:t>
      </w:r>
      <w:proofErr w:type="spellStart"/>
      <w:r w:rsidR="002B79F9" w:rsidRPr="002B79F9">
        <w:t>Plant</w:t>
      </w:r>
      <w:proofErr w:type="spellEnd"/>
      <w:r w:rsidR="002B79F9" w:rsidRPr="002B79F9">
        <w:t xml:space="preserve"> J. 2014, 79:757-68.</w:t>
      </w:r>
    </w:p>
    <w:p w14:paraId="66FB0CD5" w14:textId="2166F110" w:rsidR="00EF022F" w:rsidRDefault="009126C6" w:rsidP="0062658A">
      <w:pPr>
        <w:pStyle w:val="ICLGG201703Institutions"/>
        <w:rPr>
          <w:rFonts w:ascii="Times New Roman" w:hAnsi="Times New Roman" w:cs="Times New Roman"/>
          <w:lang w:val="en-AU"/>
        </w:rPr>
      </w:pPr>
      <w:r w:rsidRPr="0069354D">
        <w:rPr>
          <w:lang w:val="en-AU"/>
        </w:rPr>
        <w:t>[2]</w:t>
      </w:r>
      <w:r w:rsidRPr="0069354D">
        <w:rPr>
          <w:lang w:val="en-AU"/>
        </w:rPr>
        <w:tab/>
      </w:r>
      <w:proofErr w:type="spellStart"/>
      <w:r w:rsidR="0062658A" w:rsidRPr="0062658A">
        <w:t>Breakspear</w:t>
      </w:r>
      <w:proofErr w:type="spellEnd"/>
      <w:r w:rsidR="0062658A" w:rsidRPr="0062658A">
        <w:t xml:space="preserve"> A</w:t>
      </w:r>
      <w:r w:rsidR="0062658A">
        <w:t>.</w:t>
      </w:r>
      <w:r w:rsidR="0062658A" w:rsidRPr="0062658A">
        <w:t xml:space="preserve">, </w:t>
      </w:r>
      <w:proofErr w:type="spellStart"/>
      <w:r w:rsidR="0062658A">
        <w:t>et</w:t>
      </w:r>
      <w:proofErr w:type="spellEnd"/>
      <w:r w:rsidR="0062658A">
        <w:t xml:space="preserve"> </w:t>
      </w:r>
      <w:proofErr w:type="spellStart"/>
      <w:r w:rsidR="0062658A">
        <w:t>al</w:t>
      </w:r>
      <w:proofErr w:type="spellEnd"/>
      <w:r w:rsidR="0062658A" w:rsidRPr="0062658A">
        <w:t xml:space="preserve">. The </w:t>
      </w:r>
      <w:proofErr w:type="spellStart"/>
      <w:r w:rsidR="0062658A" w:rsidRPr="0062658A">
        <w:t>root</w:t>
      </w:r>
      <w:proofErr w:type="spellEnd"/>
      <w:r w:rsidR="0062658A" w:rsidRPr="0062658A">
        <w:t xml:space="preserve"> </w:t>
      </w:r>
      <w:proofErr w:type="spellStart"/>
      <w:r w:rsidR="0062658A" w:rsidRPr="0062658A">
        <w:t>hair</w:t>
      </w:r>
      <w:proofErr w:type="spellEnd"/>
      <w:r w:rsidR="0062658A" w:rsidRPr="0062658A">
        <w:t xml:space="preserve"> "</w:t>
      </w:r>
      <w:proofErr w:type="spellStart"/>
      <w:r w:rsidR="0062658A" w:rsidRPr="0062658A">
        <w:t>infectome</w:t>
      </w:r>
      <w:proofErr w:type="spellEnd"/>
      <w:r w:rsidR="0062658A" w:rsidRPr="0062658A">
        <w:t xml:space="preserve">" of Medicago truncatula </w:t>
      </w:r>
      <w:proofErr w:type="spellStart"/>
      <w:r w:rsidR="0062658A" w:rsidRPr="0062658A">
        <w:t>uncovers</w:t>
      </w:r>
      <w:proofErr w:type="spellEnd"/>
      <w:r w:rsidR="0062658A" w:rsidRPr="0062658A">
        <w:t xml:space="preserve"> </w:t>
      </w:r>
      <w:proofErr w:type="spellStart"/>
      <w:r w:rsidR="0062658A" w:rsidRPr="0062658A">
        <w:t>changes</w:t>
      </w:r>
      <w:proofErr w:type="spellEnd"/>
      <w:r w:rsidR="0062658A" w:rsidRPr="0062658A">
        <w:t xml:space="preserve"> in </w:t>
      </w:r>
      <w:proofErr w:type="spellStart"/>
      <w:r w:rsidR="0062658A" w:rsidRPr="0062658A">
        <w:t>cell</w:t>
      </w:r>
      <w:proofErr w:type="spellEnd"/>
      <w:r w:rsidR="0062658A" w:rsidRPr="0062658A">
        <w:t xml:space="preserve"> </w:t>
      </w:r>
      <w:proofErr w:type="spellStart"/>
      <w:r w:rsidR="0062658A" w:rsidRPr="0062658A">
        <w:t>cycle</w:t>
      </w:r>
      <w:proofErr w:type="spellEnd"/>
      <w:r w:rsidR="0062658A" w:rsidRPr="0062658A">
        <w:t xml:space="preserve"> </w:t>
      </w:r>
      <w:proofErr w:type="spellStart"/>
      <w:r w:rsidR="0062658A" w:rsidRPr="0062658A">
        <w:t>genes</w:t>
      </w:r>
      <w:proofErr w:type="spellEnd"/>
      <w:r w:rsidR="0062658A" w:rsidRPr="0062658A">
        <w:t xml:space="preserve"> and </w:t>
      </w:r>
      <w:proofErr w:type="spellStart"/>
      <w:r w:rsidR="0062658A" w:rsidRPr="0062658A">
        <w:t>reveals</w:t>
      </w:r>
      <w:proofErr w:type="spellEnd"/>
      <w:r w:rsidR="0062658A" w:rsidRPr="0062658A">
        <w:t xml:space="preserve"> a </w:t>
      </w:r>
      <w:proofErr w:type="spellStart"/>
      <w:r w:rsidR="0062658A" w:rsidRPr="0062658A">
        <w:t>requirement</w:t>
      </w:r>
      <w:proofErr w:type="spellEnd"/>
      <w:r w:rsidR="0062658A" w:rsidRPr="0062658A">
        <w:t xml:space="preserve"> </w:t>
      </w:r>
      <w:proofErr w:type="spellStart"/>
      <w:r w:rsidR="0062658A" w:rsidRPr="0062658A">
        <w:t>for</w:t>
      </w:r>
      <w:proofErr w:type="spellEnd"/>
      <w:r w:rsidR="0062658A" w:rsidRPr="0062658A">
        <w:t xml:space="preserve"> </w:t>
      </w:r>
      <w:proofErr w:type="spellStart"/>
      <w:r w:rsidR="0062658A">
        <w:t>a</w:t>
      </w:r>
      <w:r w:rsidR="0062658A" w:rsidRPr="0062658A">
        <w:t>uxin</w:t>
      </w:r>
      <w:proofErr w:type="spellEnd"/>
      <w:r w:rsidR="0062658A" w:rsidRPr="0062658A">
        <w:t xml:space="preserve"> </w:t>
      </w:r>
      <w:proofErr w:type="spellStart"/>
      <w:r w:rsidR="0062658A" w:rsidRPr="0062658A">
        <w:t>signaling</w:t>
      </w:r>
      <w:proofErr w:type="spellEnd"/>
      <w:r w:rsidR="0062658A" w:rsidRPr="0062658A">
        <w:t xml:space="preserve"> in rhizobial </w:t>
      </w:r>
      <w:proofErr w:type="spellStart"/>
      <w:r w:rsidR="0062658A" w:rsidRPr="0062658A">
        <w:t>infection</w:t>
      </w:r>
      <w:proofErr w:type="spellEnd"/>
      <w:r w:rsidR="0062658A" w:rsidRPr="0062658A">
        <w:t xml:space="preserve">. </w:t>
      </w:r>
      <w:proofErr w:type="spellStart"/>
      <w:r w:rsidR="0062658A" w:rsidRPr="0062658A">
        <w:t>Plant</w:t>
      </w:r>
      <w:proofErr w:type="spellEnd"/>
      <w:r w:rsidR="0062658A" w:rsidRPr="0062658A">
        <w:t xml:space="preserve"> </w:t>
      </w:r>
      <w:proofErr w:type="spellStart"/>
      <w:r w:rsidR="0062658A" w:rsidRPr="0062658A">
        <w:t>Cell</w:t>
      </w:r>
      <w:proofErr w:type="spellEnd"/>
      <w:r w:rsidR="0062658A" w:rsidRPr="0062658A">
        <w:t>. 2014 26:4680-701.</w:t>
      </w: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273C1"/>
    <w:rsid w:val="00050665"/>
    <w:rsid w:val="00086C6E"/>
    <w:rsid w:val="000B21D5"/>
    <w:rsid w:val="0011541E"/>
    <w:rsid w:val="001956AD"/>
    <w:rsid w:val="001D72AC"/>
    <w:rsid w:val="00234A08"/>
    <w:rsid w:val="002B79F9"/>
    <w:rsid w:val="002B7ABD"/>
    <w:rsid w:val="003766F6"/>
    <w:rsid w:val="003B1091"/>
    <w:rsid w:val="003E7225"/>
    <w:rsid w:val="00477E9B"/>
    <w:rsid w:val="00573C7D"/>
    <w:rsid w:val="005909B0"/>
    <w:rsid w:val="005C2ABC"/>
    <w:rsid w:val="005C7608"/>
    <w:rsid w:val="0062658A"/>
    <w:rsid w:val="006802FD"/>
    <w:rsid w:val="0069354D"/>
    <w:rsid w:val="006C1D10"/>
    <w:rsid w:val="00716FCD"/>
    <w:rsid w:val="007465CD"/>
    <w:rsid w:val="00771CA6"/>
    <w:rsid w:val="007C1B7A"/>
    <w:rsid w:val="008850E9"/>
    <w:rsid w:val="008E0EA1"/>
    <w:rsid w:val="009126C6"/>
    <w:rsid w:val="00954065"/>
    <w:rsid w:val="009C49E6"/>
    <w:rsid w:val="00A72105"/>
    <w:rsid w:val="00A9440A"/>
    <w:rsid w:val="00B0001A"/>
    <w:rsid w:val="00B148DC"/>
    <w:rsid w:val="00BD713C"/>
    <w:rsid w:val="00BE0837"/>
    <w:rsid w:val="00BE396B"/>
    <w:rsid w:val="00E242E6"/>
    <w:rsid w:val="00E80A77"/>
    <w:rsid w:val="00EA7F59"/>
    <w:rsid w:val="00EF022F"/>
    <w:rsid w:val="00EF6B8A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4.xml><?xml version="1.0" encoding="utf-8"?>
<ds:datastoreItem xmlns:ds="http://schemas.openxmlformats.org/officeDocument/2006/customXml" ds:itemID="{69D06194-B252-0D4A-82F3-60A691E3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Jeremy Murray (JIC)</cp:lastModifiedBy>
  <cp:revision>8</cp:revision>
  <dcterms:created xsi:type="dcterms:W3CDTF">2024-04-30T00:00:00Z</dcterms:created>
  <dcterms:modified xsi:type="dcterms:W3CDTF">2024-04-30T09:49:00Z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