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8E58" w14:textId="3E496744" w:rsidR="00FE7F2F" w:rsidRDefault="00FE7F2F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Development of 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="00BF36B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oral</w:t>
      </w:r>
      <w:r w:rsidR="00BF36B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dispersible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t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ablet for 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m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ucosal 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elivery of 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daravone to MND </w:t>
      </w:r>
      <w:r w:rsidR="003F010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atients</w:t>
      </w:r>
    </w:p>
    <w:p w14:paraId="3D27ADA6" w14:textId="29DE5344" w:rsidR="00FE7F2F" w:rsidRPr="00FE7F2F" w:rsidRDefault="00FE7F2F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Riuna O’Neill</w:t>
      </w:r>
      <w:r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Okhee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Yoo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1,2,3,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5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Philip Burcham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Lee Yong Lim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1,2,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376321D5" w14:textId="5579CCD2" w:rsidR="00FE7F2F" w:rsidRDefault="003F0105" w:rsidP="004D131D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Division of Pharmacy</w:t>
      </w:r>
      <w:r w:rsid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4D131D" w:rsidRP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Centre for Optimisation of Medicines</w:t>
      </w:r>
      <w:r w:rsid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FE7F2F" w:rsidRP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Institute for Paediatric Perioperative Excellence, </w:t>
      </w:r>
      <w:r w:rsid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="004D131D" w:rsidRP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Division of Pharmacology and Toxicology, University of Western Australia, Perth, WA, Australia</w:t>
      </w:r>
      <w:r w:rsid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; </w:t>
      </w:r>
      <w:r w:rsidR="004D131D" w:rsidRPr="004D131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5</w:t>
      </w:r>
      <w:r w:rsidR="00FE7F2F" w:rsidRP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Wesfarmers</w:t>
      </w:r>
      <w:r w:rsidR="00FE7F2F" w:rsidRP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Centre for Vaccines and Infectious Diseases, The Kids Research Institute, </w:t>
      </w:r>
      <w:r w:rsid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Perth</w:t>
      </w:r>
      <w:r w:rsidR="00FE7F2F" w:rsidRPr="00FE7F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WA, Australia</w:t>
      </w:r>
      <w:r w:rsidR="004D131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667972A6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8B4EFB2" w14:textId="1E0DBD53" w:rsidR="007B0BC6" w:rsidRPr="007B0BC6" w:rsidRDefault="00B8473A" w:rsidP="005246B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52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Edaravone slows motor neurone disease (MND) progression</w:t>
      </w:r>
      <w:r w:rsidR="00661E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(1</w:t>
      </w:r>
      <w:r w:rsidR="003B4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,2</w:t>
      </w:r>
      <w:proofErr w:type="gramStart"/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</w:t>
      </w:r>
      <w:proofErr w:type="gramEnd"/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 commercially available as</w:t>
      </w:r>
      <w:r w:rsidR="00352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IV solution and oral liquid suspension </w:t>
      </w:r>
      <w:r w:rsidR="003B4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(3)</w:t>
      </w:r>
      <w:r w:rsidR="00352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Both forms have poor clinical uptake (4)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We aim to develop rapidly disintegrating oral mucosal tablet formulations to resolve the challenges</w:t>
      </w:r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</w:t>
      </w:r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high cost and inconvenient dosing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(IV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solution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(5), 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short shelf life, poor bioavailability and administration difficulties (</w:t>
      </w:r>
      <w:r w:rsidR="006D29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oral liquid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current </w:t>
      </w:r>
      <w:r w:rsidR="003E2B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edaravone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products. 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report 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describes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gelatine-based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freeze-dried edaravone tablet</w:t>
      </w:r>
      <w:r w:rsidR="003F01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3F58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02310120" w14:textId="7279E3BD" w:rsidR="00483355" w:rsidRPr="00C315D2" w:rsidRDefault="00C315D2" w:rsidP="00230DF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a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stirred homogeneous 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mixture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0.50 g gelatine, 0.20 g glycine, 0.20 g sorbitol, 0.22 g simethicone and 12 mL water 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 added an aqueous suspension of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E2B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edaravone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&lt;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150 </w:t>
      </w:r>
      <w:r w:rsidR="005246B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µ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1.71 g in 8 mL of water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). 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f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inal suspension 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dispens</w:t>
      </w:r>
      <w:r w:rsidR="000A37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at 0.8 g (60 mg edaravone) 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into troche mould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lyophilis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5246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8D55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demoulded </w:t>
      </w:r>
      <w:r w:rsidR="008D55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tablets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ere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evaluated for</w:t>
      </w:r>
      <w:r w:rsidR="008D55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833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weight uniformity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4833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content, drug dissolution, moisture, 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4833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friability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81125" w:rsidRP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1022F1" w:rsidRP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6-8</w:t>
      </w:r>
      <w:r w:rsidR="00A81125" w:rsidRP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immediately, and after storage 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at ambient conditions and </w:t>
      </w:r>
      <w:r w:rsidR="000004DD">
        <w:rPr>
          <w:rFonts w:ascii="Arial" w:eastAsia="Calibri" w:hAnsi="Arial" w:cs="Calibri"/>
          <w:kern w:val="0"/>
          <w:sz w:val="20"/>
          <w:szCs w:val="20"/>
          <w14:ligatures w14:val="none"/>
        </w:rPr>
        <w:t>40</w:t>
      </w:r>
      <w:r w:rsidR="000004DD">
        <w:rPr>
          <w:rFonts w:ascii="Arial" w:eastAsia="Calibri" w:hAnsi="Arial" w:cs="Arial"/>
          <w:kern w:val="0"/>
          <w:sz w:val="20"/>
          <w:szCs w:val="20"/>
          <w14:ligatures w14:val="none"/>
        </w:rPr>
        <w:t>°</w:t>
      </w:r>
      <w:r w:rsidR="000004D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C, 75% RH. </w:t>
      </w:r>
      <w:r w:rsidR="000004D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2479BD4A" w14:textId="75EB5573" w:rsidR="008D5587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</w:p>
    <w:p w14:paraId="14AA7753" w14:textId="376584CF" w:rsidR="000953B7" w:rsidRPr="001A35D8" w:rsidRDefault="000004DD" w:rsidP="00C74F59">
      <w:pPr>
        <w:tabs>
          <w:tab w:val="left" w:pos="5498"/>
        </w:tabs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3528D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</w:t>
      </w:r>
      <w:r w:rsidR="008D558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ablets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74F5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weighed</w:t>
      </w:r>
      <w:r w:rsid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104 </w:t>
      </w:r>
      <w:r w:rsidR="008D5587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5 mg</w:t>
      </w:r>
      <w:r w:rsid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(n = 90)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5246BF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and 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contained </w:t>
      </w:r>
      <w:r w:rsidR="00230DF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61.7 </w:t>
      </w:r>
      <w:r w:rsidR="00230DF1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230DF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2.0 mg </w:t>
      </w:r>
      <w:r w:rsid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(n = 12) </w:t>
      </w:r>
      <w:r w:rsidR="00230DF1">
        <w:rPr>
          <w:rFonts w:ascii="Arial" w:eastAsia="Calibri" w:hAnsi="Arial" w:cs="Calibri"/>
          <w:kern w:val="0"/>
          <w:sz w:val="20"/>
          <w:szCs w:val="20"/>
          <w14:ligatures w14:val="none"/>
        </w:rPr>
        <w:t>edaravone</w:t>
      </w:r>
      <w:r w:rsidR="0041462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</w:t>
      </w:r>
      <w:r w:rsid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>Within 5 min i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 simulated saliva,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the table</w:t>
      </w:r>
      <w:r w:rsidR="005A155D" w:rsidRP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 disintegrated 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and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released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98.4 </w:t>
      </w:r>
      <w:r w:rsidR="005B38A8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0.3%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of the edaravone load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.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4D75C3">
        <w:rPr>
          <w:rFonts w:ascii="Arial" w:eastAsia="Calibri" w:hAnsi="Arial" w:cs="Calibri"/>
          <w:kern w:val="0"/>
          <w:sz w:val="20"/>
          <w:szCs w:val="20"/>
          <w14:ligatures w14:val="none"/>
        </w:rPr>
        <w:t>This was substantially faster than p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>ure edaravone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powder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(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>control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)</w:t>
      </w:r>
      <w:r w:rsidR="004D75C3">
        <w:rPr>
          <w:rFonts w:ascii="Arial" w:eastAsia="Calibri" w:hAnsi="Arial" w:cs="Calibri"/>
          <w:kern w:val="0"/>
          <w:sz w:val="20"/>
          <w:szCs w:val="20"/>
          <w14:ligatures w14:val="none"/>
        </w:rPr>
        <w:t>, which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showed</w:t>
      </w:r>
      <w:r w:rsidR="00F8480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only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73.2 </w:t>
      </w:r>
      <w:r w:rsidR="005B38A8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7.3% </w:t>
      </w:r>
      <w:r w:rsidR="00D275B4">
        <w:rPr>
          <w:rFonts w:ascii="Arial" w:eastAsia="Calibri" w:hAnsi="Arial" w:cs="Calibri"/>
          <w:kern w:val="0"/>
          <w:sz w:val="20"/>
          <w:szCs w:val="20"/>
          <w14:ligatures w14:val="none"/>
        </w:rPr>
        <w:t>d</w:t>
      </w:r>
      <w:r w:rsidR="00A45497">
        <w:rPr>
          <w:rFonts w:ascii="Arial" w:eastAsia="Calibri" w:hAnsi="Arial" w:cs="Calibri"/>
          <w:kern w:val="0"/>
          <w:sz w:val="20"/>
          <w:szCs w:val="20"/>
          <w14:ligatures w14:val="none"/>
        </w:rPr>
        <w:t>issolution</w:t>
      </w:r>
      <w:r w:rsidR="005205C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after</w:t>
      </w:r>
      <w:r w:rsidR="005B38A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60 min.</w:t>
      </w:r>
      <w:r w:rsidR="00ED786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>T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ablets 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>were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intact</w:t>
      </w:r>
      <w:r w:rsidR="005A155D" w:rsidRP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after friability testing,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show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ing low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weight loss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>(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0.252 </w:t>
      </w:r>
      <w:r w:rsidR="00C74F59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0.022%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>)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Moisture content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was comparable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immediately after 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preparation 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(5.49 </w:t>
      </w:r>
      <w:r w:rsidR="005A155D" w:rsidRPr="008D5587">
        <w:rPr>
          <w:rFonts w:ascii="Arial" w:eastAsia="Calibri" w:hAnsi="Arial" w:cs="Calibri"/>
          <w:kern w:val="0"/>
          <w:sz w:val="20"/>
          <w:szCs w:val="20"/>
          <w14:ligatures w14:val="none"/>
        </w:rPr>
        <w:t>±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0.76%) </w:t>
      </w:r>
      <w:r w:rsidR="00BF36BA">
        <w:rPr>
          <w:rFonts w:ascii="Arial" w:eastAsia="Calibri" w:hAnsi="Arial" w:cs="Calibri"/>
          <w:kern w:val="0"/>
          <w:sz w:val="20"/>
          <w:szCs w:val="20"/>
          <w14:ligatures w14:val="none"/>
        </w:rPr>
        <w:t>and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after 2 weeks storage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Drug content was </w:t>
      </w:r>
      <w:r w:rsidR="003E2BC9" w:rsidRPr="003F38A2">
        <w:rPr>
          <w:rFonts w:ascii="Arial" w:eastAsia="Calibri" w:hAnsi="Arial" w:cs="Calibri"/>
          <w:kern w:val="0"/>
          <w:sz w:val="20"/>
          <w:szCs w:val="20"/>
          <w14:ligatures w14:val="none"/>
        </w:rPr>
        <w:t>100</w:t>
      </w:r>
      <w:r w:rsidR="005A155D" w:rsidRPr="003F38A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% and </w:t>
      </w:r>
      <w:r w:rsidR="003F38A2" w:rsidRPr="003F38A2">
        <w:rPr>
          <w:rFonts w:ascii="Arial" w:eastAsia="Calibri" w:hAnsi="Arial" w:cs="Calibri"/>
          <w:kern w:val="0"/>
          <w:sz w:val="20"/>
          <w:szCs w:val="20"/>
          <w14:ligatures w14:val="none"/>
        </w:rPr>
        <w:t>88</w:t>
      </w:r>
      <w:r w:rsidR="005A155D" w:rsidRPr="003F38A2">
        <w:rPr>
          <w:rFonts w:ascii="Arial" w:eastAsia="Calibri" w:hAnsi="Arial" w:cs="Calibri"/>
          <w:kern w:val="0"/>
          <w:sz w:val="20"/>
          <w:szCs w:val="20"/>
          <w14:ligatures w14:val="none"/>
        </w:rPr>
        <w:t>%</w:t>
      </w:r>
      <w:r w:rsidR="005A155D" w:rsidRP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of baseline levels </w:t>
      </w:r>
      <w:r w:rsidR="00C74F59" w:rsidRPr="003E2BC9">
        <w:rPr>
          <w:rFonts w:ascii="Arial" w:eastAsia="Calibri" w:hAnsi="Arial" w:cs="Calibri"/>
          <w:kern w:val="0"/>
          <w:sz w:val="20"/>
          <w:szCs w:val="20"/>
          <w14:ligatures w14:val="none"/>
        </w:rPr>
        <w:t>after one week storage</w:t>
      </w:r>
      <w:r w:rsidR="00C74F5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at </w:t>
      </w:r>
      <w:r w:rsidR="00ED786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ambient conditions 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and</w:t>
      </w:r>
      <w:r w:rsidR="00ED786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at 40</w:t>
      </w:r>
      <w:r w:rsidR="00ED786C">
        <w:rPr>
          <w:rFonts w:ascii="Arial" w:eastAsia="Calibri" w:hAnsi="Arial" w:cs="Arial"/>
          <w:kern w:val="0"/>
          <w:sz w:val="20"/>
          <w:szCs w:val="20"/>
          <w14:ligatures w14:val="none"/>
        </w:rPr>
        <w:t>°</w:t>
      </w:r>
      <w:r w:rsidR="00ED786C">
        <w:rPr>
          <w:rFonts w:ascii="Arial" w:eastAsia="Calibri" w:hAnsi="Arial" w:cs="Calibri"/>
          <w:kern w:val="0"/>
          <w:sz w:val="20"/>
          <w:szCs w:val="20"/>
          <w14:ligatures w14:val="none"/>
        </w:rPr>
        <w:t>C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, </w:t>
      </w:r>
      <w:r w:rsidR="00ED786C">
        <w:rPr>
          <w:rFonts w:ascii="Arial" w:eastAsia="Calibri" w:hAnsi="Arial" w:cs="Calibri"/>
          <w:kern w:val="0"/>
          <w:sz w:val="20"/>
          <w:szCs w:val="20"/>
          <w14:ligatures w14:val="none"/>
        </w:rPr>
        <w:t>75% RH</w:t>
      </w:r>
      <w:r w:rsidR="005A155D">
        <w:rPr>
          <w:rFonts w:ascii="Arial" w:eastAsia="Calibri" w:hAnsi="Arial" w:cs="Calibri"/>
          <w:kern w:val="0"/>
          <w:sz w:val="20"/>
          <w:szCs w:val="20"/>
          <w14:ligatures w14:val="none"/>
        </w:rPr>
        <w:t>, respectively.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6FEF4DE" w14:textId="2324E8A9" w:rsidR="001C2653" w:rsidRPr="00C315D2" w:rsidRDefault="00B8473A" w:rsidP="00762ED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ED78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novel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A15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gelatin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5A15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tablet of </w:t>
      </w:r>
      <w:r w:rsidR="00ED78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edaravone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with potential for sublingual administration in MND patients </w:t>
      </w:r>
      <w:r w:rsidR="00ED78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was 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successfully </w:t>
      </w:r>
      <w:r w:rsidR="00ED78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developed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It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significantly enhance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edaravone solubility</w:t>
      </w:r>
      <w:r w:rsidR="005A15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simulated saliva, </w:t>
      </w:r>
      <w:r w:rsidR="00BF36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durable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demonstrating </w:t>
      </w:r>
      <w:r w:rsidR="005A15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physical and chemical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stability on</w:t>
      </w:r>
      <w:r w:rsidR="001C26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storage</w:t>
      </w:r>
      <w:r w:rsidR="00F322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18D8D492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BDD9372" w14:textId="0DD23290" w:rsidR="003B415C" w:rsidRDefault="003B415C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(1)</w:t>
      </w:r>
      <w:r w:rsidRPr="003B4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Bailly, C. et al (2020)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Bioorg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Med Chem 28:115463</w:t>
      </w:r>
    </w:p>
    <w:p w14:paraId="305DBD9B" w14:textId="67551EF0" w:rsidR="003B415C" w:rsidRPr="003B415C" w:rsidRDefault="003B415C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(2) Yoshino, H. (2019) Expert Rev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Neurother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19:185-193</w:t>
      </w:r>
    </w:p>
    <w:p w14:paraId="049140C2" w14:textId="16B32EBE" w:rsidR="00661E53" w:rsidRDefault="003B415C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(3) </w:t>
      </w:r>
      <w:r w:rsidR="00661E5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FDA (2022) </w:t>
      </w:r>
      <w:hyperlink r:id="rId8" w:history="1">
        <w:r w:rsidR="00661E53" w:rsidRPr="0084444B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14:ligatures w14:val="none"/>
          </w:rPr>
          <w:t>https://www.accessdata.fda.gov/drugsatfda_docs/label/2022/215446s000lbl.pdf</w:t>
        </w:r>
      </w:hyperlink>
      <w:r w:rsidR="00661E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31E605A" w14:textId="30D30C25" w:rsidR="007A042E" w:rsidRDefault="007A042E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(4) </w:t>
      </w:r>
      <w:r w:rsidR="0072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Wang, J. et al (2018) Clin </w:t>
      </w:r>
      <w:proofErr w:type="spellStart"/>
      <w:r w:rsidR="0072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Ther</w:t>
      </w:r>
      <w:proofErr w:type="spellEnd"/>
      <w:r w:rsidR="0072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40:1683-1691</w:t>
      </w:r>
    </w:p>
    <w:p w14:paraId="6F1915C7" w14:textId="21BF640B" w:rsidR="007A042E" w:rsidRDefault="007A042E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(5) Chen, X.</w:t>
      </w:r>
      <w:r w:rsidR="0072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et al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(2020) Clin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Ther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42:428-438</w:t>
      </w:r>
    </w:p>
    <w:p w14:paraId="6622E76B" w14:textId="51ED58DF" w:rsidR="00A31580" w:rsidRDefault="00A31580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4130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USP (2011) </w:t>
      </w:r>
      <w:hyperlink r:id="rId9" w:history="1">
        <w:r w:rsidR="00413020" w:rsidRPr="006A7FC7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14:ligatures w14:val="none"/>
          </w:rPr>
          <w:t>https://www.usp.org/sites/default/files/usp/document/harmonization/gen-method/q0304_stage_6_monograph_25_feb_2011.pdf</w:t>
        </w:r>
      </w:hyperlink>
      <w:r w:rsidR="004130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000C91D" w14:textId="0EB10582" w:rsidR="00A31580" w:rsidRDefault="00A31580" w:rsidP="00413020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7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4130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USP (2011) </w:t>
      </w:r>
      <w:hyperlink r:id="rId10" w:history="1">
        <w:r w:rsidR="00A81125" w:rsidRPr="006A7FC7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14:ligatures w14:val="none"/>
          </w:rPr>
          <w:t>https://www.usp.org/sites/default/files/usp/document/harmonization/gen-method/stage_6_monograph_25_feb_2011.pdf</w:t>
        </w:r>
      </w:hyperlink>
      <w:r w:rsidR="00A81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C3257DA" w14:textId="3B184FFE" w:rsidR="008D5587" w:rsidRPr="0041462B" w:rsidRDefault="00A31580" w:rsidP="0041462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1022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8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A81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USP (2016) </w:t>
      </w:r>
      <w:hyperlink r:id="rId11" w:history="1">
        <w:r w:rsidR="00A81125" w:rsidRPr="006A7FC7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14:ligatures w14:val="none"/>
          </w:rPr>
          <w:t>https://www.usp.org/sites/default/files/usp/document/harmonization/gen-chapter/g06_pf_ira_32_2_2006.pdf</w:t>
        </w:r>
      </w:hyperlink>
      <w:r w:rsidR="00A81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D5587" w:rsidRPr="0041462B">
        <w:rPr>
          <w:rFonts w:ascii="Arial" w:eastAsia="Malgun Gothic" w:hAnsi="Arial" w:cs="Arial"/>
          <w:bCs/>
          <w:strike/>
          <w:color w:val="4472C4"/>
          <w:sz w:val="20"/>
          <w:szCs w:val="20"/>
          <w:lang w:val="en-US" w:eastAsia="ko-KR"/>
          <w14:ligatures w14:val="none"/>
        </w:rPr>
        <w:t xml:space="preserve"> </w:t>
      </w:r>
    </w:p>
    <w:sectPr w:rsidR="008D5587" w:rsidRPr="00414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2E73"/>
    <w:multiLevelType w:val="hybridMultilevel"/>
    <w:tmpl w:val="F06AB042"/>
    <w:lvl w:ilvl="0" w:tplc="A992F0C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87827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04DD"/>
    <w:rsid w:val="0003260F"/>
    <w:rsid w:val="00053C0B"/>
    <w:rsid w:val="000953B7"/>
    <w:rsid w:val="000A3708"/>
    <w:rsid w:val="001022F1"/>
    <w:rsid w:val="00107368"/>
    <w:rsid w:val="00113BB7"/>
    <w:rsid w:val="00117ED2"/>
    <w:rsid w:val="00184D20"/>
    <w:rsid w:val="001A35D8"/>
    <w:rsid w:val="001C2653"/>
    <w:rsid w:val="002017E6"/>
    <w:rsid w:val="00230DF1"/>
    <w:rsid w:val="00294059"/>
    <w:rsid w:val="003206E4"/>
    <w:rsid w:val="003528DE"/>
    <w:rsid w:val="003A6D5C"/>
    <w:rsid w:val="003B415C"/>
    <w:rsid w:val="003E2BC9"/>
    <w:rsid w:val="003F0105"/>
    <w:rsid w:val="003F38A2"/>
    <w:rsid w:val="003F586F"/>
    <w:rsid w:val="00413020"/>
    <w:rsid w:val="0041462B"/>
    <w:rsid w:val="00473DF9"/>
    <w:rsid w:val="00483355"/>
    <w:rsid w:val="004A51B6"/>
    <w:rsid w:val="004D131D"/>
    <w:rsid w:val="004D75C3"/>
    <w:rsid w:val="004F1BB5"/>
    <w:rsid w:val="00510CF8"/>
    <w:rsid w:val="005205C7"/>
    <w:rsid w:val="005246BF"/>
    <w:rsid w:val="00575A29"/>
    <w:rsid w:val="00586127"/>
    <w:rsid w:val="005A155D"/>
    <w:rsid w:val="005B38A8"/>
    <w:rsid w:val="00601754"/>
    <w:rsid w:val="00617826"/>
    <w:rsid w:val="00630158"/>
    <w:rsid w:val="00661E53"/>
    <w:rsid w:val="006A34BE"/>
    <w:rsid w:val="006A6138"/>
    <w:rsid w:val="006B5A31"/>
    <w:rsid w:val="006C58A6"/>
    <w:rsid w:val="006D2926"/>
    <w:rsid w:val="006F3F1C"/>
    <w:rsid w:val="007141F2"/>
    <w:rsid w:val="00722298"/>
    <w:rsid w:val="007561D8"/>
    <w:rsid w:val="00762ED8"/>
    <w:rsid w:val="0076345D"/>
    <w:rsid w:val="00795378"/>
    <w:rsid w:val="00796206"/>
    <w:rsid w:val="007A042E"/>
    <w:rsid w:val="007B0BC6"/>
    <w:rsid w:val="007C367E"/>
    <w:rsid w:val="007E16C0"/>
    <w:rsid w:val="008071C5"/>
    <w:rsid w:val="008D5587"/>
    <w:rsid w:val="00902AEA"/>
    <w:rsid w:val="00906D34"/>
    <w:rsid w:val="0090742B"/>
    <w:rsid w:val="00933DC9"/>
    <w:rsid w:val="00936D4C"/>
    <w:rsid w:val="0093716D"/>
    <w:rsid w:val="009523F9"/>
    <w:rsid w:val="009650DF"/>
    <w:rsid w:val="00965764"/>
    <w:rsid w:val="009B1CBB"/>
    <w:rsid w:val="009D1A8E"/>
    <w:rsid w:val="009D4C5A"/>
    <w:rsid w:val="00A0516D"/>
    <w:rsid w:val="00A31580"/>
    <w:rsid w:val="00A45497"/>
    <w:rsid w:val="00A81125"/>
    <w:rsid w:val="00A95CA3"/>
    <w:rsid w:val="00B368EA"/>
    <w:rsid w:val="00B4721D"/>
    <w:rsid w:val="00B8473A"/>
    <w:rsid w:val="00BF36BA"/>
    <w:rsid w:val="00C21815"/>
    <w:rsid w:val="00C315D2"/>
    <w:rsid w:val="00C353D8"/>
    <w:rsid w:val="00C74F59"/>
    <w:rsid w:val="00CA524D"/>
    <w:rsid w:val="00CF5A91"/>
    <w:rsid w:val="00D02BB1"/>
    <w:rsid w:val="00D275B4"/>
    <w:rsid w:val="00D45A74"/>
    <w:rsid w:val="00D7428F"/>
    <w:rsid w:val="00DD345F"/>
    <w:rsid w:val="00E865D3"/>
    <w:rsid w:val="00EC3746"/>
    <w:rsid w:val="00EC5B65"/>
    <w:rsid w:val="00ED786C"/>
    <w:rsid w:val="00F113B3"/>
    <w:rsid w:val="00F322D5"/>
    <w:rsid w:val="00F539FB"/>
    <w:rsid w:val="00F84803"/>
    <w:rsid w:val="00F85528"/>
    <w:rsid w:val="00FD47D7"/>
    <w:rsid w:val="00FE7F2F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5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F0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ata.fda.gov/drugsatfda_docs/label/2022/215446s000lbl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p.org/sites/default/files/usp/document/harmonization/gen-chapter/g06_pf_ira_32_2_2006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p.org/sites/default/files/usp/document/harmonization/gen-method/stage_6_monograph_25_feb_201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sp.org/sites/default/files/usp/document/harmonization/gen-method/q0304_stage_6_monograph_25_feb_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Riuna O'Neill</cp:lastModifiedBy>
  <cp:revision>2</cp:revision>
  <dcterms:created xsi:type="dcterms:W3CDTF">2025-05-29T07:57:00Z</dcterms:created>
  <dcterms:modified xsi:type="dcterms:W3CDTF">2025-05-29T07:57:00Z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