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42E2C4" w14:textId="77777777" w:rsidR="00B02A29" w:rsidRDefault="00B02A29" w:rsidP="00B02A29">
      <w:pPr>
        <w:rPr>
          <w:rFonts w:ascii="Calibri" w:hAnsi="Calibri" w:cs="Calibri"/>
          <w:b/>
          <w:sz w:val="20"/>
        </w:rPr>
      </w:pPr>
      <w:r w:rsidRPr="004B119C">
        <w:rPr>
          <w:rFonts w:ascii="Calibri" w:hAnsi="Calibri" w:cs="Calibri"/>
          <w:b/>
          <w:sz w:val="20"/>
        </w:rPr>
        <w:t>Correlation of antimicrobial prescribing with microbiology-confirmed organisms in ICU patients</w:t>
      </w:r>
    </w:p>
    <w:p w14:paraId="74026A6B" w14:textId="0069F152" w:rsidR="00B02A29" w:rsidRPr="00D84D3F" w:rsidRDefault="00B02A29" w:rsidP="00B02A29">
      <w:pPr>
        <w:rPr>
          <w:rFonts w:ascii="Calibri" w:hAnsi="Calibri" w:cs="Calibri"/>
          <w:sz w:val="20"/>
          <w:szCs w:val="20"/>
        </w:rPr>
      </w:pPr>
      <w:r w:rsidRPr="00D84D3F">
        <w:rPr>
          <w:rFonts w:ascii="Calibri" w:hAnsi="Calibri" w:cs="Calibri"/>
          <w:sz w:val="20"/>
          <w:szCs w:val="20"/>
        </w:rPr>
        <w:t>Shubham Biswas¹, Rakesh Kumar Dixit¹</w:t>
      </w:r>
      <w:r>
        <w:rPr>
          <w:rFonts w:ascii="Calibri" w:hAnsi="Calibri" w:cs="Calibri"/>
          <w:sz w:val="20"/>
          <w:szCs w:val="20"/>
        </w:rPr>
        <w:t xml:space="preserve">. </w:t>
      </w:r>
      <w:r w:rsidR="00036648">
        <w:rPr>
          <w:rFonts w:ascii="Calibri" w:hAnsi="Calibri" w:cs="Calibri"/>
          <w:sz w:val="20"/>
          <w:szCs w:val="20"/>
        </w:rPr>
        <w:t xml:space="preserve">Debendra Suman, </w:t>
      </w:r>
      <w:r w:rsidRPr="00D84D3F">
        <w:rPr>
          <w:rFonts w:ascii="Calibri" w:hAnsi="Calibri" w:cs="Calibri"/>
          <w:sz w:val="20"/>
          <w:szCs w:val="20"/>
        </w:rPr>
        <w:t xml:space="preserve">Dept of </w:t>
      </w:r>
      <w:proofErr w:type="spellStart"/>
      <w:r w:rsidRPr="00D84D3F">
        <w:rPr>
          <w:rFonts w:ascii="Calibri" w:hAnsi="Calibri" w:cs="Calibri"/>
          <w:sz w:val="20"/>
          <w:szCs w:val="20"/>
        </w:rPr>
        <w:t>Pharmacol</w:t>
      </w:r>
      <w:proofErr w:type="spellEnd"/>
      <w:r w:rsidRPr="00D84D3F">
        <w:rPr>
          <w:rFonts w:ascii="Calibri" w:hAnsi="Calibri" w:cs="Calibri"/>
          <w:sz w:val="20"/>
          <w:szCs w:val="20"/>
        </w:rPr>
        <w:t>, King George’s Med Univ</w:t>
      </w:r>
      <w:r w:rsidRPr="007510AD">
        <w:rPr>
          <w:rFonts w:ascii="Calibri" w:hAnsi="Calibri" w:cs="Calibri"/>
          <w:sz w:val="20"/>
          <w:szCs w:val="20"/>
          <w:vertAlign w:val="superscript"/>
        </w:rPr>
        <w:t>1</w:t>
      </w:r>
      <w:r w:rsidRPr="00D84D3F">
        <w:rPr>
          <w:rFonts w:ascii="Calibri" w:hAnsi="Calibri" w:cs="Calibri"/>
          <w:sz w:val="20"/>
          <w:szCs w:val="20"/>
        </w:rPr>
        <w:t>, Lucknow, India</w:t>
      </w:r>
    </w:p>
    <w:p w14:paraId="1BB97665" w14:textId="77777777" w:rsidR="00B02A29" w:rsidRPr="002549DC" w:rsidRDefault="00B02A29" w:rsidP="00B02A29">
      <w:pPr>
        <w:pStyle w:val="Default"/>
        <w:jc w:val="both"/>
        <w:rPr>
          <w:color w:val="auto"/>
          <w:sz w:val="16"/>
          <w:szCs w:val="16"/>
          <w:lang w:val="en-AU"/>
        </w:rPr>
      </w:pPr>
      <w:r w:rsidRPr="00D84D3F">
        <w:rPr>
          <w:i/>
          <w:color w:val="auto"/>
          <w:sz w:val="16"/>
          <w:szCs w:val="16"/>
        </w:rPr>
        <w:t xml:space="preserve"> </w:t>
      </w:r>
    </w:p>
    <w:p w14:paraId="34FFCD58" w14:textId="77777777" w:rsidR="00B02A29" w:rsidRPr="004B119C" w:rsidRDefault="00B02A29" w:rsidP="00B02A29">
      <w:pPr>
        <w:rPr>
          <w:rFonts w:ascii="Calibri" w:hAnsi="Calibri" w:cs="Calibri"/>
        </w:rPr>
      </w:pPr>
      <w:r w:rsidRPr="002549DC">
        <w:rPr>
          <w:rFonts w:ascii="Calibri" w:hAnsi="Calibri" w:cs="Calibri"/>
          <w:b/>
          <w:bCs/>
          <w:sz w:val="20"/>
        </w:rPr>
        <w:t>Introduction.</w:t>
      </w:r>
      <w:r>
        <w:rPr>
          <w:rFonts w:ascii="Calibri" w:hAnsi="Calibri" w:cs="Calibri"/>
          <w:sz w:val="20"/>
        </w:rPr>
        <w:t xml:space="preserve"> </w:t>
      </w:r>
      <w:r w:rsidRPr="004B119C">
        <w:rPr>
          <w:rFonts w:ascii="Calibri" w:hAnsi="Calibri" w:cs="Calibri"/>
          <w:sz w:val="20"/>
        </w:rPr>
        <w:t>Antimicrobial therapy in Intensive Care Units (ICUs) is frequently initiated empirically due to the severity of infections and diagnostic delays. However, inappropriate empirical prescribing can foster antimicrobial resistance. Correlating antimicrobial use with microbiology-confirmed organisms helps assess appropriateness of therapy and guides stewardship interventions.</w:t>
      </w:r>
    </w:p>
    <w:p w14:paraId="54757BD7" w14:textId="77777777" w:rsidR="00B02A29" w:rsidRPr="004B119C" w:rsidRDefault="00B02A29" w:rsidP="00B02A29">
      <w:pPr>
        <w:rPr>
          <w:rFonts w:ascii="Calibri" w:hAnsi="Calibri" w:cs="Calibri"/>
        </w:rPr>
      </w:pPr>
      <w:r w:rsidRPr="002549DC">
        <w:rPr>
          <w:rFonts w:ascii="Calibri" w:hAnsi="Calibri" w:cs="Calibri"/>
          <w:b/>
          <w:bCs/>
          <w:sz w:val="20"/>
        </w:rPr>
        <w:t>Aim.</w:t>
      </w:r>
      <w:r w:rsidRPr="004B119C">
        <w:rPr>
          <w:rFonts w:ascii="Calibri" w:hAnsi="Calibri" w:cs="Calibri"/>
          <w:sz w:val="20"/>
        </w:rPr>
        <w:t xml:space="preserve"> To correlate antimicrobial drugs prescribed in ICU patients with organisms confirmed through microbiology reports.</w:t>
      </w:r>
    </w:p>
    <w:p w14:paraId="3A1CBCE6" w14:textId="77777777" w:rsidR="00B02A29" w:rsidRPr="004B119C" w:rsidRDefault="00B02A29" w:rsidP="00B02A29">
      <w:pPr>
        <w:rPr>
          <w:rFonts w:ascii="Calibri" w:hAnsi="Calibri" w:cs="Calibri"/>
        </w:rPr>
      </w:pPr>
      <w:r w:rsidRPr="002549DC">
        <w:rPr>
          <w:rFonts w:ascii="Calibri" w:hAnsi="Calibri" w:cs="Calibri"/>
          <w:b/>
          <w:bCs/>
          <w:sz w:val="20"/>
        </w:rPr>
        <w:t>Methods.</w:t>
      </w:r>
      <w:r w:rsidRPr="004B119C">
        <w:rPr>
          <w:rFonts w:ascii="Calibri" w:hAnsi="Calibri" w:cs="Calibri"/>
          <w:sz w:val="20"/>
        </w:rPr>
        <w:t xml:space="preserve"> A prospective observational study was conducted over one year in ICUs of King George’s Medical University, Lucknow. Seventy-five patients receiving antimicrobials were enrolled, of which 32 had culture-positive infections. Data on antimicrobials prescribed were correlated with organisms isolated from microbiology reports.</w:t>
      </w:r>
    </w:p>
    <w:p w14:paraId="7B879C91" w14:textId="77777777" w:rsidR="00B02A29" w:rsidRPr="004B119C" w:rsidRDefault="00B02A29" w:rsidP="00B02A29">
      <w:pPr>
        <w:rPr>
          <w:rFonts w:ascii="Calibri" w:hAnsi="Calibri" w:cs="Calibri"/>
        </w:rPr>
      </w:pPr>
      <w:r w:rsidRPr="002549DC">
        <w:rPr>
          <w:rFonts w:ascii="Calibri" w:hAnsi="Calibri" w:cs="Calibri"/>
          <w:b/>
          <w:bCs/>
          <w:sz w:val="20"/>
        </w:rPr>
        <w:t>Results.</w:t>
      </w:r>
      <w:r w:rsidRPr="004B119C">
        <w:rPr>
          <w:rFonts w:ascii="Calibri" w:hAnsi="Calibri" w:cs="Calibri"/>
          <w:sz w:val="20"/>
        </w:rPr>
        <w:t xml:space="preserve"> Among 32 culture-positive patients, Gram-negative pathogens predominated. Klebsiella pneumoniae (31.3%) and Acinetobacter </w:t>
      </w:r>
      <w:proofErr w:type="spellStart"/>
      <w:r w:rsidRPr="004B119C">
        <w:rPr>
          <w:rFonts w:ascii="Calibri" w:hAnsi="Calibri" w:cs="Calibri"/>
          <w:sz w:val="20"/>
        </w:rPr>
        <w:t>baumannii</w:t>
      </w:r>
      <w:proofErr w:type="spellEnd"/>
      <w:r w:rsidRPr="004B119C">
        <w:rPr>
          <w:rFonts w:ascii="Calibri" w:hAnsi="Calibri" w:cs="Calibri"/>
          <w:sz w:val="20"/>
        </w:rPr>
        <w:t xml:space="preserve"> (25%) were the most frequent isolates, followed by Pseudomonas aeruginosa (18.8%) and Escherichia coli (12.5%). Gram-positive isolates included Staphylococcus aureus (6.3%) and Enterococcus spp. (6.3%). Empirical prescribing was dominated by beta-lactams and carbapenems, with piperacillin-tazobactam and meropenem most frequently used. Correlation analysis revealed partial alignment between prescribed drugs and culture sensitivity results. In many cases, broad-spectrum therapy continued despite availability of narrower options, and de-escalation rates remained suboptimal.</w:t>
      </w:r>
    </w:p>
    <w:p w14:paraId="0CD22913" w14:textId="60D60651" w:rsidR="001875E4" w:rsidRDefault="00B02A29" w:rsidP="00B02A29">
      <w:r w:rsidRPr="002549DC">
        <w:rPr>
          <w:rFonts w:ascii="Calibri" w:hAnsi="Calibri" w:cs="Calibri"/>
          <w:b/>
          <w:bCs/>
          <w:sz w:val="20"/>
        </w:rPr>
        <w:t>Discussion.</w:t>
      </w:r>
      <w:r>
        <w:rPr>
          <w:rFonts w:ascii="Calibri" w:hAnsi="Calibri" w:cs="Calibri"/>
          <w:sz w:val="20"/>
        </w:rPr>
        <w:t xml:space="preserve"> </w:t>
      </w:r>
      <w:r w:rsidRPr="004B119C">
        <w:rPr>
          <w:rFonts w:ascii="Calibri" w:hAnsi="Calibri" w:cs="Calibri"/>
          <w:sz w:val="20"/>
        </w:rPr>
        <w:t xml:space="preserve"> The findings demonstrate a predominance of multidrug-resistant Gram-negative organisms in ICU infections. Although empirical use of broad-spectrum antimicrobials ensured initial coverage, adherence to culture-guided de-escalation was limited. Strengthening antimicrobial stewardship, promoting routine microbiology testing, and implementing antibiogram-driven protocols are essential to enhance targeted therapy, minimize resistance, and optimize patient outcomes.</w:t>
      </w:r>
    </w:p>
    <w:sectPr w:rsidR="001875E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A29"/>
    <w:rsid w:val="00036648"/>
    <w:rsid w:val="001875E4"/>
    <w:rsid w:val="00B02A2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40D9E4"/>
  <w15:chartTrackingRefBased/>
  <w15:docId w15:val="{CE24B2EF-09E3-4E20-B47B-C5F6AAA6F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2A29"/>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02A29"/>
    <w:pPr>
      <w:widowControl w:val="0"/>
      <w:autoSpaceDE w:val="0"/>
      <w:autoSpaceDN w:val="0"/>
      <w:adjustRightInd w:val="0"/>
      <w:spacing w:after="0" w:line="240" w:lineRule="auto"/>
    </w:pPr>
    <w:rPr>
      <w:rFonts w:ascii="Calibri" w:eastAsia="Calibri" w:hAnsi="Calibri" w:cs="Calibri"/>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260</Words>
  <Characters>1988</Characters>
  <Application>Microsoft Office Word</Application>
  <DocSecurity>0</DocSecurity>
  <Lines>26</Lines>
  <Paragraphs>7</Paragraphs>
  <ScaleCrop>false</ScaleCrop>
  <Company/>
  <LinksUpToDate>false</LinksUpToDate>
  <CharactersWithSpaces>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shubham</dc:creator>
  <cp:keywords/>
  <dc:description/>
  <cp:lastModifiedBy>Rakesh Dixit</cp:lastModifiedBy>
  <cp:revision>3</cp:revision>
  <dcterms:created xsi:type="dcterms:W3CDTF">2025-08-28T08:19:00Z</dcterms:created>
  <dcterms:modified xsi:type="dcterms:W3CDTF">2025-08-29T13:01:00Z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3d770298-7654-48fc-858e-a2aa8cc822dc</vt:lpwstr>
  </property>
</Properties>
</file>