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0C9B" w14:textId="77777777" w:rsidR="00476D33" w:rsidRPr="00476D33" w:rsidRDefault="00476D33" w:rsidP="00476D3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D33">
        <w:rPr>
          <w:rFonts w:ascii="Times New Roman" w:hAnsi="Times New Roman" w:cs="Times New Roman"/>
          <w:b/>
          <w:i/>
          <w:sz w:val="24"/>
          <w:szCs w:val="24"/>
        </w:rPr>
        <w:t>Genome</w:t>
      </w:r>
      <w:proofErr w:type="spellEnd"/>
      <w:r w:rsidRPr="00476D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b/>
          <w:i/>
          <w:sz w:val="24"/>
          <w:szCs w:val="24"/>
        </w:rPr>
        <w:t>wide</w:t>
      </w:r>
      <w:proofErr w:type="spellEnd"/>
      <w:r w:rsidRPr="00476D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b/>
          <w:i/>
          <w:sz w:val="24"/>
          <w:szCs w:val="24"/>
        </w:rPr>
        <w:t>methylome</w:t>
      </w:r>
      <w:proofErr w:type="spellEnd"/>
      <w:r w:rsidRPr="00476D33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  <w:r w:rsidRPr="00476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CRISPR/dCas9-based</w:t>
      </w:r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b/>
          <w:i/>
          <w:sz w:val="24"/>
          <w:szCs w:val="24"/>
        </w:rPr>
        <w:t>gene</w:t>
      </w:r>
      <w:proofErr w:type="spellEnd"/>
      <w:r w:rsidRPr="00476D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b/>
          <w:i/>
          <w:sz w:val="24"/>
          <w:szCs w:val="24"/>
        </w:rPr>
        <w:t>activation</w:t>
      </w:r>
      <w:proofErr w:type="spellEnd"/>
      <w:r w:rsidRPr="00476D33">
        <w:rPr>
          <w:rFonts w:ascii="Times New Roman" w:hAnsi="Times New Roman" w:cs="Times New Roman"/>
          <w:b/>
          <w:i/>
          <w:sz w:val="24"/>
          <w:szCs w:val="24"/>
        </w:rPr>
        <w:t xml:space="preserve"> in Medicago </w:t>
      </w:r>
      <w:proofErr w:type="spellStart"/>
      <w:r w:rsidRPr="00476D33">
        <w:rPr>
          <w:rFonts w:ascii="Times New Roman" w:hAnsi="Times New Roman" w:cs="Times New Roman"/>
          <w:b/>
          <w:i/>
          <w:sz w:val="24"/>
          <w:szCs w:val="24"/>
        </w:rPr>
        <w:t>truncatula</w:t>
      </w:r>
      <w:proofErr w:type="spellEnd"/>
      <w:r w:rsidRPr="00476D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6158B99B" w:rsidR="009126C6" w:rsidRPr="00476D33" w:rsidRDefault="00476D33" w:rsidP="009126C6">
      <w:pPr>
        <w:pStyle w:val="ICLGG201702Authors"/>
        <w:rPr>
          <w:rFonts w:ascii="Times New Roman" w:hAnsi="Times New Roman" w:cs="Times New Roman"/>
          <w:iCs/>
          <w:color w:val="808080" w:themeColor="background1" w:themeShade="80"/>
          <w:sz w:val="22"/>
          <w:szCs w:val="22"/>
          <w:lang w:val="en-AU"/>
        </w:rPr>
      </w:pPr>
      <w:proofErr w:type="spellStart"/>
      <w:r w:rsidRPr="00476D33">
        <w:rPr>
          <w:rFonts w:ascii="Times New Roman" w:hAnsi="Times New Roman" w:cs="Times New Roman"/>
          <w:sz w:val="24"/>
          <w:szCs w:val="24"/>
          <w:lang w:val="en-AU"/>
        </w:rPr>
        <w:t>Nandety</w:t>
      </w:r>
      <w:proofErr w:type="spellEnd"/>
      <w:r w:rsidRPr="00476D33">
        <w:rPr>
          <w:rFonts w:ascii="Times New Roman" w:hAnsi="Times New Roman" w:cs="Times New Roman"/>
          <w:sz w:val="24"/>
          <w:szCs w:val="24"/>
          <w:lang w:val="en-AU"/>
        </w:rPr>
        <w:t xml:space="preserve"> RS</w:t>
      </w:r>
      <w:r w:rsidRPr="00476D33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,2</w:t>
      </w:r>
      <w:r w:rsidRPr="00476D33">
        <w:rPr>
          <w:rFonts w:ascii="Times New Roman" w:hAnsi="Times New Roman" w:cs="Times New Roman"/>
          <w:sz w:val="24"/>
          <w:szCs w:val="24"/>
          <w:lang w:val="en-AU"/>
        </w:rPr>
        <w:t>, Gill US</w:t>
      </w:r>
      <w:r w:rsidRPr="00476D33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476D3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Oh S</w:t>
      </w:r>
      <w:r w:rsidRPr="00476D33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>, Lee H-K</w:t>
      </w:r>
      <w:r w:rsidRPr="00476D33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476D33">
        <w:rPr>
          <w:rFonts w:ascii="Times New Roman" w:hAnsi="Times New Roman" w:cs="Times New Roman"/>
          <w:sz w:val="24"/>
          <w:szCs w:val="24"/>
          <w:lang w:val="en-AU"/>
        </w:rPr>
        <w:t>Wen J</w:t>
      </w:r>
      <w:r w:rsidRPr="00476D33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,2</w:t>
      </w:r>
      <w:r w:rsidRPr="00476D3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476D33">
        <w:rPr>
          <w:rFonts w:ascii="Times New Roman" w:hAnsi="Times New Roman" w:cs="Times New Roman"/>
          <w:sz w:val="24"/>
          <w:szCs w:val="24"/>
          <w:u w:val="single"/>
          <w:lang w:val="en-AU"/>
        </w:rPr>
        <w:t>Mysore KS</w:t>
      </w:r>
      <w:r w:rsidRPr="00476D33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AU"/>
        </w:rPr>
        <w:t>,2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76AE5FDD" w:rsidR="005C7608" w:rsidRPr="005C7608" w:rsidRDefault="00476D33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kmysore@okstate.edu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53EC817A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476D33">
        <w:rPr>
          <w:rFonts w:ascii="Times New Roman" w:hAnsi="Times New Roman" w:cs="Times New Roman"/>
          <w:sz w:val="24"/>
          <w:szCs w:val="24"/>
          <w:lang w:val="en-AU"/>
        </w:rPr>
        <w:t>Institute for Agricultural Biosciences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476D33">
        <w:rPr>
          <w:rFonts w:ascii="Times New Roman" w:hAnsi="Times New Roman" w:cs="Times New Roman"/>
          <w:sz w:val="24"/>
          <w:szCs w:val="24"/>
          <w:lang w:val="en-AU"/>
        </w:rPr>
        <w:t>Oklahoma State University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476D33">
        <w:rPr>
          <w:rFonts w:ascii="Times New Roman" w:hAnsi="Times New Roman" w:cs="Times New Roman"/>
          <w:sz w:val="24"/>
          <w:szCs w:val="24"/>
          <w:lang w:val="en-AU"/>
        </w:rPr>
        <w:t>Ardmore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>, US</w:t>
      </w:r>
      <w:proofErr w:type="spellEnd"/>
      <w:r w:rsidRPr="0069354D">
        <w:rPr>
          <w:rFonts w:ascii="Times New Roman" w:hAnsi="Times New Roman" w:cs="Times New Roman"/>
          <w:sz w:val="24"/>
          <w:szCs w:val="24"/>
          <w:lang w:val="en-AU"/>
        </w:rPr>
        <w:t>A</w:t>
      </w:r>
    </w:p>
    <w:p w14:paraId="4624E317" w14:textId="36D3EE18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476D33">
        <w:rPr>
          <w:rFonts w:ascii="Times New Roman" w:hAnsi="Times New Roman" w:cs="Times New Roman"/>
          <w:sz w:val="24"/>
          <w:szCs w:val="24"/>
          <w:lang w:val="en-AU"/>
        </w:rPr>
        <w:t>Noble Research Institute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476D33">
        <w:rPr>
          <w:rFonts w:ascii="Times New Roman" w:hAnsi="Times New Roman" w:cs="Times New Roman"/>
          <w:sz w:val="24"/>
          <w:szCs w:val="24"/>
          <w:lang w:val="en-AU"/>
        </w:rPr>
        <w:t>Ardmore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>, U</w:t>
      </w:r>
      <w:r w:rsidR="00476D33">
        <w:rPr>
          <w:rFonts w:ascii="Times New Roman" w:hAnsi="Times New Roman" w:cs="Times New Roman"/>
          <w:sz w:val="24"/>
          <w:szCs w:val="24"/>
          <w:lang w:val="en-AU"/>
        </w:rPr>
        <w:t>SA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3D86864D" w14:textId="1204E4D0" w:rsidR="00476D33" w:rsidRPr="00476D33" w:rsidRDefault="00476D33" w:rsidP="00476D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D33">
        <w:rPr>
          <w:rFonts w:ascii="Times New Roman" w:hAnsi="Times New Roman" w:cs="Times New Roman"/>
          <w:sz w:val="24"/>
          <w:szCs w:val="24"/>
        </w:rPr>
        <w:t xml:space="preserve">Tobacco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retrotransposon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, </w:t>
      </w:r>
      <w:r w:rsidRPr="00476D33">
        <w:rPr>
          <w:rFonts w:ascii="Times New Roman" w:hAnsi="Times New Roman" w:cs="Times New Roman"/>
          <w:i/>
          <w:iCs/>
          <w:sz w:val="24"/>
          <w:szCs w:val="24"/>
        </w:rPr>
        <w:t>Tnt1</w:t>
      </w:r>
      <w:r w:rsidRPr="00476D33">
        <w:rPr>
          <w:rFonts w:ascii="Times New Roman" w:hAnsi="Times New Roman" w:cs="Times New Roman"/>
          <w:sz w:val="24"/>
          <w:szCs w:val="24"/>
        </w:rPr>
        <w:t xml:space="preserve">, has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mutagenize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and tag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genome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of </w:t>
      </w:r>
      <w:r w:rsidRPr="00476D33">
        <w:rPr>
          <w:rFonts w:ascii="Times New Roman" w:hAnsi="Times New Roman" w:cs="Times New Roman"/>
          <w:i/>
          <w:iCs/>
          <w:sz w:val="24"/>
          <w:szCs w:val="24"/>
        </w:rPr>
        <w:t xml:space="preserve">Medicago </w:t>
      </w:r>
      <w:proofErr w:type="spellStart"/>
      <w:r w:rsidRPr="00476D33">
        <w:rPr>
          <w:rFonts w:ascii="Times New Roman" w:hAnsi="Times New Roman" w:cs="Times New Roman"/>
          <w:i/>
          <w:iCs/>
          <w:sz w:val="24"/>
          <w:szCs w:val="24"/>
        </w:rPr>
        <w:t>truncatula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somatic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embryogenesis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of </w:t>
      </w:r>
      <w:r w:rsidRPr="00476D33">
        <w:rPr>
          <w:rFonts w:ascii="Times New Roman" w:hAnsi="Times New Roman" w:cs="Times New Roman"/>
          <w:i/>
          <w:iCs/>
          <w:sz w:val="24"/>
          <w:szCs w:val="24"/>
        </w:rPr>
        <w:t xml:space="preserve">M. </w:t>
      </w:r>
      <w:proofErr w:type="spellStart"/>
      <w:r w:rsidRPr="00476D33">
        <w:rPr>
          <w:rFonts w:ascii="Times New Roman" w:hAnsi="Times New Roman" w:cs="Times New Roman"/>
          <w:i/>
          <w:iCs/>
          <w:sz w:val="24"/>
          <w:szCs w:val="24"/>
        </w:rPr>
        <w:t>truncatula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R108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explants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explored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shifts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methylation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explants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callus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embryogenesis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. Robust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cytosine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methylation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of CG, CHG and CHH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somatic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embryogenesis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Differentially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methylated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promoter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CHH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methylation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embryogenesis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CG and CHG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methylation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. Strong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(89.71 %)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differentially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methylated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site of </w:t>
      </w:r>
      <w:r w:rsidRPr="00476D33">
        <w:rPr>
          <w:rFonts w:ascii="Times New Roman" w:hAnsi="Times New Roman" w:cs="Times New Roman"/>
          <w:i/>
          <w:iCs/>
          <w:sz w:val="24"/>
          <w:szCs w:val="24"/>
        </w:rPr>
        <w:t>Tnt1</w:t>
      </w:r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insertions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in </w:t>
      </w:r>
      <w:r w:rsidRPr="00476D33">
        <w:rPr>
          <w:rFonts w:ascii="Times New Roman" w:hAnsi="Times New Roman" w:cs="Times New Roman"/>
          <w:i/>
          <w:iCs/>
          <w:sz w:val="24"/>
          <w:szCs w:val="24"/>
        </w:rPr>
        <w:t xml:space="preserve">M. </w:t>
      </w:r>
      <w:proofErr w:type="spellStart"/>
      <w:r w:rsidRPr="00476D33">
        <w:rPr>
          <w:rFonts w:ascii="Times New Roman" w:hAnsi="Times New Roman" w:cs="Times New Roman"/>
          <w:i/>
          <w:iCs/>
          <w:sz w:val="24"/>
          <w:szCs w:val="24"/>
        </w:rPr>
        <w:t>truncatula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R108 and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hypermethylation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genes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correlated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of </w:t>
      </w:r>
      <w:r w:rsidRPr="00476D33">
        <w:rPr>
          <w:rFonts w:ascii="Times New Roman" w:hAnsi="Times New Roman" w:cs="Times New Roman"/>
          <w:i/>
          <w:sz w:val="24"/>
          <w:szCs w:val="24"/>
        </w:rPr>
        <w:t xml:space="preserve">Tnt1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insertions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of CG, CHG and CHH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methylation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DB1D33" w14:textId="77777777" w:rsidR="00476D33" w:rsidRPr="00476D33" w:rsidRDefault="00476D33" w:rsidP="00476D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6D3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stable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transgenic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r w:rsidRPr="00476D33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476D33">
        <w:rPr>
          <w:rFonts w:ascii="Times New Roman" w:hAnsi="Times New Roman" w:cs="Times New Roman"/>
          <w:i/>
          <w:sz w:val="24"/>
          <w:szCs w:val="24"/>
        </w:rPr>
        <w:t>truncatula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expressing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chimeric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fusions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of CRISPR/dCas9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transcriptional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activator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6D33">
        <w:rPr>
          <w:rFonts w:ascii="Times New Roman" w:hAnsi="Times New Roman" w:cs="Times New Roman"/>
          <w:sz w:val="24"/>
          <w:szCs w:val="24"/>
        </w:rPr>
        <w:t>multi-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guide</w:t>
      </w:r>
      <w:proofErr w:type="spellEnd"/>
      <w:proofErr w:type="gram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RNAs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targeting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long-terminal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repeats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of </w:t>
      </w:r>
      <w:r w:rsidRPr="00476D33">
        <w:rPr>
          <w:rFonts w:ascii="Times New Roman" w:hAnsi="Times New Roman" w:cs="Times New Roman"/>
          <w:i/>
          <w:iCs/>
          <w:sz w:val="24"/>
          <w:szCs w:val="24"/>
        </w:rPr>
        <w:t>Tnt1</w:t>
      </w:r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activate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gene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r w:rsidRPr="00476D33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476D33">
        <w:rPr>
          <w:rFonts w:ascii="Times New Roman" w:hAnsi="Times New Roman" w:cs="Times New Roman"/>
          <w:i/>
          <w:sz w:val="24"/>
          <w:szCs w:val="24"/>
        </w:rPr>
        <w:t>truncatula</w:t>
      </w:r>
      <w:proofErr w:type="spellEnd"/>
      <w:r w:rsidRPr="00476D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6D33">
        <w:rPr>
          <w:rFonts w:ascii="Times New Roman" w:hAnsi="Times New Roman" w:cs="Times New Roman"/>
          <w:i/>
          <w:iCs/>
          <w:sz w:val="24"/>
          <w:szCs w:val="24"/>
        </w:rPr>
        <w:t>Tnt1</w:t>
      </w:r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mutants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transgenic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crossed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r w:rsidRPr="00476D33">
        <w:rPr>
          <w:rFonts w:ascii="Times New Roman" w:hAnsi="Times New Roman" w:cs="Times New Roman"/>
          <w:i/>
          <w:iCs/>
          <w:sz w:val="24"/>
          <w:szCs w:val="24"/>
        </w:rPr>
        <w:t>Tnt1</w:t>
      </w:r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insertion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wherein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insertions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gene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promoter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upregulation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-fold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15-fold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genes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modular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positions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of ~500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upstream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transcriptional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start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r w:rsidRPr="00476D33">
        <w:rPr>
          <w:rFonts w:ascii="Times New Roman" w:hAnsi="Times New Roman" w:cs="Times New Roman"/>
          <w:i/>
          <w:iCs/>
          <w:sz w:val="24"/>
          <w:szCs w:val="24"/>
        </w:rPr>
        <w:t>Tnt1</w:t>
      </w:r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insertion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NF21042, NF11121 and NF8355. Overall,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overcome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necessity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overexpress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genes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misexpression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genes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undesired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tissues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constitutive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promoters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3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476D33">
        <w:rPr>
          <w:rFonts w:ascii="Times New Roman" w:hAnsi="Times New Roman" w:cs="Times New Roman"/>
          <w:sz w:val="24"/>
          <w:szCs w:val="24"/>
        </w:rPr>
        <w:t>.</w:t>
      </w: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21D5"/>
    <w:rsid w:val="0011541E"/>
    <w:rsid w:val="001335E9"/>
    <w:rsid w:val="001956AD"/>
    <w:rsid w:val="001D72AC"/>
    <w:rsid w:val="00234A08"/>
    <w:rsid w:val="002B7ABD"/>
    <w:rsid w:val="003E7225"/>
    <w:rsid w:val="00401A88"/>
    <w:rsid w:val="00476D33"/>
    <w:rsid w:val="00477E9B"/>
    <w:rsid w:val="005C2ABC"/>
    <w:rsid w:val="005C7608"/>
    <w:rsid w:val="0069354D"/>
    <w:rsid w:val="006C1D10"/>
    <w:rsid w:val="007465CD"/>
    <w:rsid w:val="00771CA6"/>
    <w:rsid w:val="007C1B7A"/>
    <w:rsid w:val="008E0EA1"/>
    <w:rsid w:val="009126C6"/>
    <w:rsid w:val="00954065"/>
    <w:rsid w:val="009C49E6"/>
    <w:rsid w:val="00A72105"/>
    <w:rsid w:val="00BE0837"/>
    <w:rsid w:val="00BE396B"/>
    <w:rsid w:val="00E80A77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Mysore, Kiran</cp:lastModifiedBy>
  <cp:revision>2</cp:revision>
  <dcterms:created xsi:type="dcterms:W3CDTF">2024-05-01T09:44:00Z</dcterms:created>
  <dcterms:modified xsi:type="dcterms:W3CDTF">2024-05-01T09:44:00Z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