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9A6F" w14:textId="35BB06EA" w:rsidR="00711813" w:rsidRPr="004E5450" w:rsidRDefault="004D0050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4D0050">
        <w:rPr>
          <w:rFonts w:ascii="Calibri" w:hAnsi="Calibri" w:cs="Calibri"/>
          <w:b/>
          <w:sz w:val="20"/>
          <w:szCs w:val="20"/>
          <w:lang w:val="en-AU"/>
        </w:rPr>
        <w:t xml:space="preserve">Targeting Neuropathic Pain: Preclinical Analgesic Evidence of </w:t>
      </w:r>
      <w:r w:rsidR="003664FA" w:rsidRPr="003664FA">
        <w:rPr>
          <w:rFonts w:ascii="Calibri" w:hAnsi="Calibri" w:cs="Calibri"/>
          <w:b/>
          <w:sz w:val="20"/>
          <w:szCs w:val="20"/>
        </w:rPr>
        <w:t>EU-GMP-Certified</w:t>
      </w:r>
      <w:r w:rsidRPr="004D0050">
        <w:rPr>
          <w:rFonts w:ascii="Calibri" w:hAnsi="Calibri" w:cs="Calibri"/>
          <w:b/>
          <w:sz w:val="20"/>
          <w:szCs w:val="20"/>
          <w:lang w:val="en-AU"/>
        </w:rPr>
        <w:t xml:space="preserve"> </w:t>
      </w:r>
      <w:r w:rsidRPr="00DE3FF4">
        <w:rPr>
          <w:rFonts w:ascii="Calibri" w:hAnsi="Calibri" w:cs="Calibri"/>
          <w:b/>
          <w:i/>
          <w:iCs/>
          <w:sz w:val="20"/>
          <w:szCs w:val="20"/>
          <w:lang w:val="en-AU"/>
        </w:rPr>
        <w:t xml:space="preserve">Cannabis sativa L. </w:t>
      </w:r>
    </w:p>
    <w:p w14:paraId="2BB25570" w14:textId="1928BFAF" w:rsidR="006E32E0" w:rsidRPr="008D559D" w:rsidRDefault="008D559D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Leontina-Elena Filipiuc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Daniela-Carmen Ababei</w:t>
      </w:r>
      <w:r w:rsidRPr="008D559D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>
        <w:rPr>
          <w:rFonts w:ascii="Calibri" w:hAnsi="Calibri" w:cs="Calibri"/>
          <w:sz w:val="20"/>
          <w:szCs w:val="20"/>
          <w:lang w:val="en-AU"/>
        </w:rPr>
        <w:t>, Gabriela-Dumitrița Stanciu</w:t>
      </w:r>
      <w:r w:rsidRPr="008D559D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Veronica Bild</w:t>
      </w:r>
      <w:r w:rsidRPr="008D559D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>
        <w:rPr>
          <w:rFonts w:ascii="Calibri" w:hAnsi="Calibri" w:cs="Calibri"/>
          <w:sz w:val="20"/>
          <w:szCs w:val="20"/>
          <w:lang w:val="en-AU"/>
        </w:rPr>
        <w:t>, Bogdan-Ionel Tamba</w:t>
      </w:r>
      <w:r w:rsidRPr="008D559D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</w:p>
    <w:p w14:paraId="73847D9B" w14:textId="4AB434E3" w:rsidR="00711813" w:rsidRDefault="006E32E0" w:rsidP="006E32E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6E32E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6E32E0">
        <w:rPr>
          <w:rFonts w:ascii="Calibri" w:hAnsi="Calibri" w:cs="Calibri"/>
          <w:sz w:val="20"/>
          <w:szCs w:val="20"/>
          <w:lang w:val="en-AU"/>
        </w:rPr>
        <w:t xml:space="preserve">Advanced Research and Development </w:t>
      </w:r>
      <w:proofErr w:type="spellStart"/>
      <w:r w:rsidRPr="006E32E0">
        <w:rPr>
          <w:rFonts w:ascii="Calibri" w:hAnsi="Calibri" w:cs="Calibri"/>
          <w:sz w:val="20"/>
          <w:szCs w:val="20"/>
          <w:lang w:val="en-AU"/>
        </w:rPr>
        <w:t>Center</w:t>
      </w:r>
      <w:proofErr w:type="spellEnd"/>
      <w:r w:rsidRPr="006E32E0">
        <w:rPr>
          <w:rFonts w:ascii="Calibri" w:hAnsi="Calibri" w:cs="Calibri"/>
          <w:sz w:val="20"/>
          <w:szCs w:val="20"/>
          <w:lang w:val="en-AU"/>
        </w:rPr>
        <w:t xml:space="preserve"> for Experimental Medicine (CEMEX), Grigore T. Popa University of Medicine and Pharmacy, R</w:t>
      </w:r>
      <w:r>
        <w:rPr>
          <w:rFonts w:ascii="Calibri" w:hAnsi="Calibri" w:cs="Calibri"/>
          <w:sz w:val="20"/>
          <w:szCs w:val="20"/>
          <w:lang w:val="en-AU"/>
        </w:rPr>
        <w:t xml:space="preserve">O; </w:t>
      </w:r>
    </w:p>
    <w:p w14:paraId="2752C6C1" w14:textId="63E2D397" w:rsidR="00AB0BDD" w:rsidRDefault="00AB0BDD" w:rsidP="006E32E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AB0BDD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AB0BDD">
        <w:rPr>
          <w:rFonts w:ascii="Calibri" w:hAnsi="Calibri" w:cs="Calibri"/>
          <w:sz w:val="20"/>
          <w:szCs w:val="20"/>
          <w:lang w:val="en-AU"/>
        </w:rPr>
        <w:t>Pharmacodynamics and Clinical Pharmacy Department, Grigore T. Popa University of Medicine and Pharmacy, R</w:t>
      </w:r>
      <w:r>
        <w:rPr>
          <w:rFonts w:ascii="Calibri" w:hAnsi="Calibri" w:cs="Calibri"/>
          <w:sz w:val="20"/>
          <w:szCs w:val="20"/>
          <w:lang w:val="en-AU"/>
        </w:rPr>
        <w:t>O</w:t>
      </w:r>
      <w:r w:rsidRPr="00AB0BDD">
        <w:rPr>
          <w:rFonts w:ascii="Calibri" w:hAnsi="Calibri" w:cs="Calibri"/>
          <w:sz w:val="20"/>
          <w:szCs w:val="20"/>
          <w:lang w:val="en-AU"/>
        </w:rPr>
        <w:t>;</w:t>
      </w:r>
    </w:p>
    <w:p w14:paraId="3CD38DEF" w14:textId="58296E2A" w:rsidR="001E638E" w:rsidRPr="00BC3C4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C3C40" w:rsidRPr="00BC3C40">
        <w:rPr>
          <w:rFonts w:ascii="Calibri" w:hAnsi="Calibri" w:cs="Calibri"/>
          <w:sz w:val="20"/>
          <w:szCs w:val="20"/>
          <w:lang w:val="en-AU"/>
        </w:rPr>
        <w:t xml:space="preserve">Chemotherapy-induced neuropathic pain (CINP) affects up to 70% of cancer patients undergoing chemotherapy and often persists as a chronic condition. Current treatments show limited efficacy leaving CINP as an unmet clinical need. Cannabinoid receptors, widely expressed in the nervous system, represent a promising therapeutic target. Although whole-plant cannabis may not exhibit the same potency as isolated compounds, its use as an adjuvant to conventional analgesics is supported by its </w:t>
      </w:r>
      <w:r w:rsidR="00B1658B" w:rsidRPr="00BC3C40">
        <w:rPr>
          <w:rFonts w:ascii="Calibri" w:hAnsi="Calibri" w:cs="Calibri"/>
          <w:sz w:val="20"/>
          <w:szCs w:val="20"/>
          <w:lang w:val="en-AU"/>
        </w:rPr>
        <w:t>favourable</w:t>
      </w:r>
      <w:r w:rsidR="00BC3C40" w:rsidRPr="00BC3C40">
        <w:rPr>
          <w:rFonts w:ascii="Calibri" w:hAnsi="Calibri" w:cs="Calibri"/>
          <w:sz w:val="20"/>
          <w:szCs w:val="20"/>
          <w:lang w:val="en-AU"/>
        </w:rPr>
        <w:t xml:space="preserve"> safety profile, particularly when administered orally.</w:t>
      </w:r>
    </w:p>
    <w:p w14:paraId="11E74E49" w14:textId="09888040" w:rsidR="00A43807" w:rsidRPr="00A43807" w:rsidRDefault="00A43807" w:rsidP="00A43807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 w:rsidRPr="00A43807">
        <w:rPr>
          <w:rFonts w:ascii="Calibri" w:hAnsi="Calibri" w:cs="Calibri"/>
          <w:b/>
          <w:bCs/>
          <w:sz w:val="20"/>
          <w:szCs w:val="20"/>
          <w:lang w:val="en-AU"/>
        </w:rPr>
        <w:t xml:space="preserve">Aims. </w:t>
      </w:r>
      <w:r w:rsidR="00FD1013">
        <w:rPr>
          <w:rFonts w:ascii="Calibri" w:hAnsi="Calibri" w:cs="Calibri"/>
          <w:sz w:val="20"/>
          <w:szCs w:val="20"/>
          <w:lang w:val="en-AU"/>
        </w:rPr>
        <w:t>W</w:t>
      </w:r>
      <w:r w:rsidR="00D66222">
        <w:rPr>
          <w:rFonts w:ascii="Calibri" w:hAnsi="Calibri" w:cs="Calibri"/>
          <w:sz w:val="20"/>
          <w:szCs w:val="20"/>
          <w:lang w:val="en-AU"/>
        </w:rPr>
        <w:t>e</w:t>
      </w:r>
      <w:r w:rsidR="00B5123B" w:rsidRPr="00B5123B">
        <w:rPr>
          <w:rFonts w:ascii="Calibri" w:hAnsi="Calibri" w:cs="Calibri"/>
          <w:sz w:val="20"/>
          <w:szCs w:val="20"/>
          <w:lang w:val="en-AU"/>
        </w:rPr>
        <w:t xml:space="preserve"> aimed to evaluate the in vivo analgesic efficacy of an EU-GMP-certified </w:t>
      </w:r>
      <w:r w:rsidR="00B5123B" w:rsidRPr="00D66222">
        <w:rPr>
          <w:rFonts w:ascii="Calibri" w:hAnsi="Calibri" w:cs="Calibri"/>
          <w:i/>
          <w:iCs/>
          <w:sz w:val="20"/>
          <w:szCs w:val="20"/>
          <w:lang w:val="en-AU"/>
        </w:rPr>
        <w:t>Cannabis sativa L.</w:t>
      </w:r>
      <w:r w:rsidR="00B5123B" w:rsidRPr="00B5123B">
        <w:rPr>
          <w:rFonts w:ascii="Calibri" w:hAnsi="Calibri" w:cs="Calibri"/>
          <w:sz w:val="20"/>
          <w:szCs w:val="20"/>
          <w:lang w:val="en-AU"/>
        </w:rPr>
        <w:t xml:space="preserve"> strain in a paclitaxel-induced neuropathy (PIN) mouse model, and to explore its translational potential for precision pharmacology.</w:t>
      </w:r>
    </w:p>
    <w:p w14:paraId="7471573D" w14:textId="0F77F2D8" w:rsidR="00A43807" w:rsidRPr="00B5123B" w:rsidRDefault="00A43807" w:rsidP="00A43807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A43807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="00B5123B">
        <w:rPr>
          <w:rFonts w:ascii="Calibri" w:hAnsi="Calibri" w:cs="Calibri"/>
          <w:b/>
          <w:bCs/>
          <w:sz w:val="20"/>
          <w:szCs w:val="20"/>
          <w:lang w:val="en-AU"/>
        </w:rPr>
        <w:t xml:space="preserve">. </w:t>
      </w:r>
      <w:r w:rsidR="00B5123B" w:rsidRPr="00B5123B">
        <w:rPr>
          <w:rFonts w:ascii="Calibri" w:hAnsi="Calibri" w:cs="Calibri"/>
          <w:sz w:val="20"/>
          <w:szCs w:val="20"/>
          <w:lang w:val="en-AU"/>
        </w:rPr>
        <w:t xml:space="preserve">For efficacy testing, mice were divided into healthy controls, untreated PIN, and PIN groups treated with different doses of </w:t>
      </w:r>
      <w:r w:rsidR="00B5123B" w:rsidRPr="000355A0">
        <w:rPr>
          <w:rFonts w:ascii="Calibri" w:hAnsi="Calibri" w:cs="Calibri"/>
          <w:i/>
          <w:iCs/>
          <w:sz w:val="20"/>
          <w:szCs w:val="20"/>
          <w:lang w:val="en-AU"/>
        </w:rPr>
        <w:t>Cannabis sativa L.</w:t>
      </w:r>
      <w:r w:rsidR="00B5123B" w:rsidRPr="00B5123B">
        <w:rPr>
          <w:rFonts w:ascii="Calibri" w:hAnsi="Calibri" w:cs="Calibri"/>
          <w:sz w:val="20"/>
          <w:szCs w:val="20"/>
          <w:lang w:val="en-AU"/>
        </w:rPr>
        <w:t xml:space="preserve"> A standard pain battery was employed: Hot Plate and Tail Flick (thermal) and Randall-Selitto (mechanical). Histopathological analysis of spinal cord and dorsal root ganglia (DRG) was performed.</w:t>
      </w:r>
    </w:p>
    <w:p w14:paraId="7F72F4A6" w14:textId="19DCA4F2" w:rsidR="00711813" w:rsidRPr="00A43807" w:rsidRDefault="00711813" w:rsidP="00A43807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A43807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A4380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A7199" w:rsidRPr="007A7199">
        <w:rPr>
          <w:rFonts w:ascii="Calibri" w:hAnsi="Calibri" w:cs="Calibri"/>
          <w:sz w:val="20"/>
          <w:szCs w:val="20"/>
          <w:lang w:val="en-AU"/>
        </w:rPr>
        <w:t xml:space="preserve">Treatment with </w:t>
      </w:r>
      <w:r w:rsidR="007A7199" w:rsidRPr="00AF7241">
        <w:rPr>
          <w:rFonts w:ascii="Calibri" w:hAnsi="Calibri" w:cs="Calibri"/>
          <w:i/>
          <w:iCs/>
          <w:sz w:val="20"/>
          <w:szCs w:val="20"/>
          <w:lang w:val="en-AU"/>
        </w:rPr>
        <w:t>Cannabis sativa L.</w:t>
      </w:r>
      <w:r w:rsidR="007A7199" w:rsidRPr="007A7199">
        <w:rPr>
          <w:rFonts w:ascii="Calibri" w:hAnsi="Calibri" w:cs="Calibri"/>
          <w:sz w:val="20"/>
          <w:szCs w:val="20"/>
          <w:lang w:val="en-AU"/>
        </w:rPr>
        <w:t xml:space="preserve"> produced variable analgesic responses across tests, with the most consistent improvement observed in the pressure assay</w:t>
      </w:r>
      <w:r w:rsidR="00AF7241">
        <w:rPr>
          <w:rFonts w:ascii="Calibri" w:hAnsi="Calibri" w:cs="Calibri"/>
          <w:sz w:val="20"/>
          <w:szCs w:val="20"/>
          <w:lang w:val="en-AU"/>
        </w:rPr>
        <w:t xml:space="preserve"> test</w:t>
      </w:r>
      <w:r w:rsidR="007A7199" w:rsidRPr="007A7199">
        <w:rPr>
          <w:rFonts w:ascii="Calibri" w:hAnsi="Calibri" w:cs="Calibri"/>
          <w:sz w:val="20"/>
          <w:szCs w:val="20"/>
          <w:lang w:val="en-AU"/>
        </w:rPr>
        <w:t>. Histopathology revealed dose-dependent neuroprotection at the DRG level, particularly at lower doses.</w:t>
      </w:r>
    </w:p>
    <w:p w14:paraId="2B5CC771" w14:textId="6073F538" w:rsidR="001E3DED" w:rsidRDefault="00711813" w:rsidP="001E638E">
      <w:pPr>
        <w:jc w:val="both"/>
        <w:rPr>
          <w:rFonts w:ascii="Calibri" w:hAnsi="Calibri" w:cs="Calibri"/>
          <w:sz w:val="20"/>
          <w:szCs w:val="20"/>
        </w:rPr>
      </w:pPr>
      <w:r w:rsidRPr="001A7CC9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1A7CC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D1013" w:rsidRPr="00FD1013">
        <w:rPr>
          <w:rFonts w:ascii="Calibri" w:hAnsi="Calibri" w:cs="Calibri"/>
          <w:sz w:val="20"/>
          <w:szCs w:val="20"/>
          <w:lang w:val="en-AU"/>
        </w:rPr>
        <w:t xml:space="preserve">These findings provide early evidence supporting the potential efficacy of EU-GMP-certified cannabis in CINP. While clinical translation remains challenging, such preclinical studies are essential for informing dose selection and designing controlled clinical trials. </w:t>
      </w:r>
      <w:r w:rsidR="00EA7EE1" w:rsidRPr="00EA7EE1">
        <w:rPr>
          <w:rFonts w:ascii="Calibri" w:hAnsi="Calibri" w:cs="Calibri"/>
          <w:sz w:val="20"/>
          <w:szCs w:val="20"/>
        </w:rPr>
        <w:t xml:space="preserve">As the future CANTAVAC candidates must meet EU-GMP standards, our </w:t>
      </w:r>
      <w:r w:rsidR="005415C8" w:rsidRPr="005415C8">
        <w:rPr>
          <w:rFonts w:ascii="Calibri" w:hAnsi="Calibri" w:cs="Calibri"/>
          <w:i/>
          <w:iCs/>
          <w:sz w:val="20"/>
          <w:szCs w:val="20"/>
        </w:rPr>
        <w:t>in vivo</w:t>
      </w:r>
      <w:r w:rsidR="00EA7EE1" w:rsidRPr="00EA7EE1">
        <w:rPr>
          <w:rFonts w:ascii="Calibri" w:hAnsi="Calibri" w:cs="Calibri"/>
          <w:sz w:val="20"/>
          <w:szCs w:val="20"/>
        </w:rPr>
        <w:t xml:space="preserve"> assays provide a solid framework for product development. This work reinforces the translational evaluation of complex biologics and opens perspectives for biomarker validation and personalized therapies in chronic pain.</w:t>
      </w:r>
    </w:p>
    <w:p w14:paraId="3D8F415B" w14:textId="5EE0CC13" w:rsidR="005415C8" w:rsidRPr="00AB0BDD" w:rsidRDefault="007100C5" w:rsidP="001E638E">
      <w:pPr>
        <w:jc w:val="both"/>
        <w:rPr>
          <w:rFonts w:ascii="Calibri" w:hAnsi="Calibri" w:cs="Calibri"/>
          <w:sz w:val="20"/>
          <w:szCs w:val="20"/>
        </w:rPr>
      </w:pPr>
      <w:r w:rsidRPr="007100C5">
        <w:rPr>
          <w:rFonts w:ascii="Calibri" w:hAnsi="Calibri" w:cs="Calibri"/>
          <w:b/>
          <w:bCs/>
          <w:sz w:val="20"/>
          <w:szCs w:val="20"/>
        </w:rPr>
        <w:t>Funding:</w:t>
      </w:r>
      <w:r w:rsidRPr="007100C5">
        <w:rPr>
          <w:rFonts w:ascii="Calibri" w:hAnsi="Calibri" w:cs="Calibri"/>
          <w:sz w:val="20"/>
          <w:szCs w:val="20"/>
        </w:rPr>
        <w:t xml:space="preserve"> </w:t>
      </w:r>
      <w:r w:rsidR="00322E35" w:rsidRPr="00960893">
        <w:rPr>
          <w:rFonts w:ascii="Calibri" w:hAnsi="Calibri" w:cs="Calibri"/>
          <w:sz w:val="20"/>
          <w:szCs w:val="20"/>
        </w:rPr>
        <w:t>Acknowledgement is given to The Health Program (PS) 2021-2027, Policy Objective 1, Priority 5, project title "Development of translational research for vaccines, serums and other biological drugs - Acronym CANTAVAC 2.0”, SMIS code 326920.</w:t>
      </w:r>
    </w:p>
    <w:sectPr w:rsidR="005415C8" w:rsidRPr="00AB0BDD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1414D"/>
    <w:rsid w:val="000204CE"/>
    <w:rsid w:val="000355A0"/>
    <w:rsid w:val="000A4FA6"/>
    <w:rsid w:val="001956CC"/>
    <w:rsid w:val="001A7CC9"/>
    <w:rsid w:val="001E3DED"/>
    <w:rsid w:val="001E638E"/>
    <w:rsid w:val="002226BB"/>
    <w:rsid w:val="002272B0"/>
    <w:rsid w:val="00300B92"/>
    <w:rsid w:val="00322E35"/>
    <w:rsid w:val="003238D9"/>
    <w:rsid w:val="003664FA"/>
    <w:rsid w:val="00387491"/>
    <w:rsid w:val="003D69F6"/>
    <w:rsid w:val="00444224"/>
    <w:rsid w:val="00477743"/>
    <w:rsid w:val="00483B05"/>
    <w:rsid w:val="004D0050"/>
    <w:rsid w:val="004E28B9"/>
    <w:rsid w:val="004E50FC"/>
    <w:rsid w:val="004E5450"/>
    <w:rsid w:val="005301FD"/>
    <w:rsid w:val="0054056C"/>
    <w:rsid w:val="005415C8"/>
    <w:rsid w:val="0059609A"/>
    <w:rsid w:val="00597659"/>
    <w:rsid w:val="005D1700"/>
    <w:rsid w:val="005E48A2"/>
    <w:rsid w:val="005E62BE"/>
    <w:rsid w:val="006E32E0"/>
    <w:rsid w:val="006E4FDE"/>
    <w:rsid w:val="007100C5"/>
    <w:rsid w:val="00711813"/>
    <w:rsid w:val="00724E3C"/>
    <w:rsid w:val="00743C46"/>
    <w:rsid w:val="00744EF7"/>
    <w:rsid w:val="00760B17"/>
    <w:rsid w:val="007A7199"/>
    <w:rsid w:val="00885303"/>
    <w:rsid w:val="00886975"/>
    <w:rsid w:val="008909C9"/>
    <w:rsid w:val="008B37AD"/>
    <w:rsid w:val="008D559D"/>
    <w:rsid w:val="00947B77"/>
    <w:rsid w:val="009E2228"/>
    <w:rsid w:val="009E533F"/>
    <w:rsid w:val="009F06D6"/>
    <w:rsid w:val="00A266B4"/>
    <w:rsid w:val="00A43807"/>
    <w:rsid w:val="00A71DEF"/>
    <w:rsid w:val="00A75750"/>
    <w:rsid w:val="00AB0BDD"/>
    <w:rsid w:val="00AE2DA6"/>
    <w:rsid w:val="00AF7241"/>
    <w:rsid w:val="00B05752"/>
    <w:rsid w:val="00B1658B"/>
    <w:rsid w:val="00B5123B"/>
    <w:rsid w:val="00BA343F"/>
    <w:rsid w:val="00BC3C40"/>
    <w:rsid w:val="00BC5FCC"/>
    <w:rsid w:val="00BE1870"/>
    <w:rsid w:val="00C132EC"/>
    <w:rsid w:val="00C60A71"/>
    <w:rsid w:val="00CC2943"/>
    <w:rsid w:val="00CE6F29"/>
    <w:rsid w:val="00D372A2"/>
    <w:rsid w:val="00D55F3B"/>
    <w:rsid w:val="00D66222"/>
    <w:rsid w:val="00D866A3"/>
    <w:rsid w:val="00DA2731"/>
    <w:rsid w:val="00DE3FF4"/>
    <w:rsid w:val="00EA3EE6"/>
    <w:rsid w:val="00EA7EE1"/>
    <w:rsid w:val="00EB209A"/>
    <w:rsid w:val="00EC5491"/>
    <w:rsid w:val="00EE4910"/>
    <w:rsid w:val="00EF12F3"/>
    <w:rsid w:val="00F02477"/>
    <w:rsid w:val="00F90F73"/>
    <w:rsid w:val="00F96CD7"/>
    <w:rsid w:val="00F97620"/>
    <w:rsid w:val="00FC57BF"/>
    <w:rsid w:val="00FD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F20CD"/>
  <w15:chartTrackingRefBased/>
  <w15:docId w15:val="{7226D26C-97E8-4E14-9B80-7B5FD895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Titlu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Titlu5">
    <w:name w:val="heading 5"/>
    <w:basedOn w:val="Normal"/>
    <w:next w:val="Normal"/>
    <w:link w:val="Titlu5Caracte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Titlu5Caracter">
    <w:name w:val="Titlu 5 Caracter"/>
    <w:link w:val="Titlu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Robust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MeniuneNerezolvat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BA71F3-766E-4559-848C-6D5557F7ECBB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358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Submission Format for ConnectED 2007</vt:lpstr>
      <vt:lpstr>Submission Format for ConnectED 2007</vt:lpstr>
    </vt:vector>
  </TitlesOfParts>
  <Company>clems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leo filipiuc</cp:lastModifiedBy>
  <cp:revision>26</cp:revision>
  <cp:lastPrinted>2013-06-13T12:15:00Z</cp:lastPrinted>
  <dcterms:created xsi:type="dcterms:W3CDTF">2025-09-14T19:16:00Z</dcterms:created>
  <dcterms:modified xsi:type="dcterms:W3CDTF">2025-09-15T10:31:00Z</dcterms:modified>
</cp:coreProperties>
</file>