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F1B9" w14:textId="1B886C06" w:rsidR="00C315D2" w:rsidRPr="00C315D2" w:rsidRDefault="00586190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proofErr w:type="spellStart"/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Characterising</w:t>
      </w:r>
      <w:proofErr w:type="spellEnd"/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</w:t>
      </w:r>
      <w:r w:rsidR="004F20B8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Phytocannabinoids </w:t>
      </w:r>
      <w:r w:rsidR="006A3379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at the Cellular Ageing </w:t>
      </w:r>
      <w:r w:rsidR="00A80951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and Pain Target</w:t>
      </w:r>
      <w:r w:rsidR="005A0801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–TRPA1</w:t>
      </w:r>
    </w:p>
    <w:p w14:paraId="79141BD9" w14:textId="73221A35" w:rsidR="00C315D2" w:rsidRPr="00C315D2" w:rsidRDefault="00622747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E</w:t>
      </w:r>
      <w:r w:rsidR="004F0FE0"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than Noble-Green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="005C6A64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,2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644C1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</w:t>
      </w:r>
      <w:r w:rsidR="005C6A6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</w:t>
      </w:r>
      <w:r w:rsidR="00644C1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chael</w:t>
      </w:r>
      <w:r w:rsidR="005C6A6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Udoh</w:t>
      </w:r>
      <w:r w:rsidR="00F260F5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F260F5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,2</w:t>
      </w:r>
      <w:r w:rsidR="005C6A6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J</w:t>
      </w:r>
      <w:r w:rsidR="003400E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onathon C</w:t>
      </w:r>
      <w:r w:rsidR="00F4340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  <w:r w:rsidR="003400E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Arnold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5C6A64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,2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137D4547" w14:textId="5BC4FF4B" w:rsidR="00C315D2" w:rsidRDefault="00EC348E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</w:t>
      </w:r>
      <w:r w:rsidR="005A450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Lambert Initiative for Cannabinoid </w:t>
      </w:r>
      <w:r w:rsidR="00FC200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Therapeutics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836FB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</w:t>
      </w:r>
      <w:r w:rsidR="00FC200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University of Sydney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CA163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Sydney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CA1638">
        <w:rPr>
          <w:rFonts w:ascii="Arial" w:eastAsia="Calibri" w:hAnsi="Arial" w:cs="Calibri"/>
          <w:kern w:val="0"/>
          <w:sz w:val="20"/>
          <w:szCs w:val="20"/>
          <w14:ligatures w14:val="none"/>
        </w:rPr>
        <w:t>NSW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CA163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Australia</w:t>
      </w:r>
    </w:p>
    <w:p w14:paraId="419AC42C" w14:textId="58636E74" w:rsidR="00F260F5" w:rsidRPr="00A96019" w:rsidRDefault="00EF3476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Sydney Pharmacy S</w:t>
      </w:r>
      <w:r w:rsidR="00A9601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hool</w:t>
      </w:r>
      <w:r w:rsidR="00A9601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Faculty of Medicine and Health,</w:t>
      </w:r>
      <w:r w:rsidR="00836FB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The</w:t>
      </w:r>
      <w:r w:rsidR="00A9601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University of Sydney</w:t>
      </w:r>
      <w:r w:rsidR="00A96019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="00A9601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Sydney, NSW, Australia</w:t>
      </w:r>
    </w:p>
    <w:p w14:paraId="2DD37039" w14:textId="1458E2D4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5F6BC97F" w14:textId="0A0F7716" w:rsidR="00E92972" w:rsidRPr="00E92972" w:rsidRDefault="00B8473A" w:rsidP="00E9297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E92972" w:rsidRPr="00E9297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TRPA1 is a non-selective cation channel that is activated by a broad range of stimuli including temperature changes, mechanical stimulus, reactive products (e.g. electrophiles &amp; reactive oxygen species), and both endogenous and exogenous cannabinoids. The majority of research on this channel has focused on its involvement in nociceptive and inflammatory </w:t>
      </w:r>
      <w:r w:rsidR="002B7267" w:rsidRPr="00E9297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signalling</w:t>
      </w:r>
      <w:r w:rsidR="00E92972" w:rsidRPr="00E9297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with the aim of developing antagonists as therapeutics to limited success. This may be because TRPA1 has more recently been implicated in neuroprotective and pro-longevity pathways.</w:t>
      </w:r>
      <w:r w:rsidR="00E92972" w:rsidRPr="00E9297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 xml:space="preserve">1,2,3 </w:t>
      </w:r>
    </w:p>
    <w:p w14:paraId="2385039D" w14:textId="6A1C3613" w:rsidR="00C315D2" w:rsidRPr="006645B6" w:rsidRDefault="00E92972" w:rsidP="00E9297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E9297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Different ligands, like cannabinoids, have been found to activate TRPA1 in distinct ways, with some altering the pathways </w:t>
      </w:r>
      <w:r w:rsidR="00A413D7" w:rsidRPr="00E9297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signalled</w:t>
      </w:r>
      <w:r w:rsidRPr="00E9297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(e.g. activation without pain), leading to the </w:t>
      </w:r>
      <w:r w:rsidR="00A413D7" w:rsidRPr="00E9297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potential</w:t>
      </w:r>
      <w:r w:rsidRPr="00E9297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of </w:t>
      </w:r>
      <w:r w:rsidRPr="00E92972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using </w:t>
      </w:r>
      <w:r w:rsidR="00A413D7" w:rsidRPr="006645B6">
        <w:rPr>
          <w:rFonts w:ascii="Arial" w:eastAsia="Calibri" w:hAnsi="Arial" w:cs="Calibri"/>
          <w:kern w:val="0"/>
          <w:sz w:val="20"/>
          <w:szCs w:val="20"/>
          <w14:ligatures w14:val="none"/>
        </w:rPr>
        <w:t>cannabinoids</w:t>
      </w:r>
      <w:r w:rsidRPr="00E92972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as lead TRPA1 agonists in developing novel therapeutics that bias the neuroprotective and pro-longevity pathways. </w:t>
      </w:r>
      <w:r w:rsidRPr="00E9297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Previous studies have only characterised cannabinoids at the rat homologue of TRPA1</w:t>
      </w:r>
      <w:r w:rsidR="00FA568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FA568D" w:rsidRPr="00FA568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for which some ligands can have differential pharmacological activity to the human channel.</w:t>
      </w:r>
      <w:r w:rsidR="00FA568D" w:rsidRPr="00FA568D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4,5</w:t>
      </w:r>
      <w:r w:rsidRPr="00E9297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E92972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 xml:space="preserve">Aim: </w:t>
      </w:r>
      <w:r w:rsidRPr="00E9297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We sought to </w:t>
      </w:r>
      <w:r w:rsidRPr="006645B6">
        <w:rPr>
          <w:rFonts w:ascii="Arial" w:eastAsia="Calibri" w:hAnsi="Arial" w:cs="Calibri"/>
          <w:kern w:val="0"/>
          <w:sz w:val="20"/>
          <w:szCs w:val="20"/>
          <w14:ligatures w14:val="none"/>
        </w:rPr>
        <w:t>characterise these cannabinoids at the human TRPA1</w:t>
      </w:r>
      <w:r w:rsidRPr="00E92972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 xml:space="preserve"> </w:t>
      </w:r>
      <w:r w:rsidRPr="00CA37AE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receptor </w:t>
      </w:r>
      <w:r w:rsidRPr="00E9297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in vitro, with the addition of nine previously uncharacterised minor phytocannabinoids.</w:t>
      </w:r>
    </w:p>
    <w:p w14:paraId="15D93483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3DE3DA06" w14:textId="2B1B40C6" w:rsidR="00171751" w:rsidRPr="00171751" w:rsidRDefault="00C315D2" w:rsidP="00171751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4E5FD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Cannabinoids were characterised </w:t>
      </w:r>
      <w:r w:rsidR="00C23D2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using the </w:t>
      </w:r>
      <w:r w:rsidR="006B738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FLIPR</w:t>
      </w:r>
      <w:r w:rsidR="00D1199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C23D2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calcium imaging dye Calcium </w:t>
      </w:r>
      <w:r w:rsidR="00EB7F3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5 and</w:t>
      </w:r>
      <w:r w:rsidR="00CF1D5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measured </w:t>
      </w:r>
      <w:r w:rsidR="00A6278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with the </w:t>
      </w:r>
      <w:proofErr w:type="spellStart"/>
      <w:r w:rsidR="00A6278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Flex</w:t>
      </w:r>
      <w:r w:rsidR="00D1199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</w:t>
      </w:r>
      <w:r w:rsidR="00A6278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tation</w:t>
      </w:r>
      <w:proofErr w:type="spellEnd"/>
      <w:r w:rsidR="00D1199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3</w:t>
      </w:r>
      <w:r w:rsidR="00A6278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plate reader in </w:t>
      </w:r>
      <w:r w:rsidR="007709D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96-well format.</w:t>
      </w:r>
      <w:r w:rsidR="00677C5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172B8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Human </w:t>
      </w:r>
      <w:r w:rsidR="00677C5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TRPA1 was stably transfected in HEK293 </w:t>
      </w:r>
      <w:r w:rsidR="00907A8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Flip</w:t>
      </w:r>
      <w:r w:rsidR="003400E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</w:t>
      </w:r>
      <w:r w:rsidR="00907A8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In T-</w:t>
      </w:r>
      <w:proofErr w:type="spellStart"/>
      <w:r w:rsidR="00907A8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REx</w:t>
      </w:r>
      <w:proofErr w:type="spellEnd"/>
      <w:r w:rsidR="00907A8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cells</w:t>
      </w:r>
      <w:r w:rsidR="003C73E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="002E76F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with </w:t>
      </w:r>
      <w:r w:rsidR="007B530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</w:t>
      </w:r>
      <w:r w:rsidR="003400E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channel’s</w:t>
      </w:r>
      <w:r w:rsidR="007B530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expression being induced the day before e</w:t>
      </w:r>
      <w:r w:rsidR="008728F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xperiments.</w:t>
      </w:r>
      <w:r w:rsidR="0017175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1387B9C3" w14:textId="0898FCFD" w:rsidR="00C315D2" w:rsidRPr="00C315D2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58EE2702" w14:textId="154B260A" w:rsidR="00C315D2" w:rsidRPr="00615EC7" w:rsidRDefault="00795378" w:rsidP="00C1759F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</w:pPr>
      <w:r w:rsidRPr="000566A6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Results.</w:t>
      </w:r>
      <w:r w:rsidR="00C315D2" w:rsidRPr="000566A6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="007E7118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The</w:t>
      </w:r>
      <w:r w:rsidR="00B92A0D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11</w:t>
      </w:r>
      <w:r w:rsidR="00455EAB" w:rsidRPr="000566A6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r w:rsidR="00920E17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characterised</w:t>
      </w:r>
      <w:r w:rsidR="00455EAB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cannabinoids </w:t>
      </w:r>
      <w:r w:rsidR="009146BB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had a different potency to previous </w:t>
      </w:r>
      <w:r w:rsidR="00D6218B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studies using the rat form of the </w:t>
      </w:r>
      <w:r w:rsidR="008E6C1B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channel</w:t>
      </w:r>
      <w:r w:rsidR="00D6218B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. </w:t>
      </w:r>
      <w:r w:rsidR="00B950AA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The addition of</w:t>
      </w:r>
      <w:r w:rsidR="008E6C1B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920E17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9</w:t>
      </w:r>
      <w:r w:rsidR="008E6C1B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B950AA" w:rsidRPr="000566A6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m</w:t>
      </w:r>
      <w:r w:rsidR="00920E17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i</w:t>
      </w:r>
      <w:r w:rsidR="00B950AA" w:rsidRPr="000566A6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nor phytocannabinoids </w:t>
      </w:r>
      <w:r w:rsidR="0051255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being characterised at </w:t>
      </w:r>
      <w:r w:rsidR="00B950AA" w:rsidRPr="000566A6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TRPA1</w:t>
      </w:r>
      <w:r w:rsidR="00B9313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.</w:t>
      </w:r>
      <w:r w:rsidR="002D7BA5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="006E5C56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A few cannabinoids stood out as having a higher </w:t>
      </w:r>
      <w:r w:rsidR="002B4AEE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or similar </w:t>
      </w:r>
      <w:r w:rsidR="006E5C56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potency than our positive control </w:t>
      </w:r>
      <w:r w:rsidR="005A3E77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cinnamaldehyde</w:t>
      </w:r>
      <w:r w:rsidR="00F14735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(CIN)</w:t>
      </w:r>
      <w:r w:rsidR="005A3E77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:</w:t>
      </w:r>
      <w:r w:rsidR="002828E7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CBCV</w:t>
      </w:r>
      <w:r w:rsidR="003E5F63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&gt;CBNA&gt;CBDV</w:t>
      </w:r>
      <w:r w:rsidR="00666C19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&gt;CBC</w:t>
      </w:r>
      <w:r w:rsidR="00615EC7">
        <w:rPr>
          <w:rFonts w:ascii="Arial" w:eastAsia="Calibri" w:hAnsi="Arial" w:cs="Arial"/>
          <w:b/>
          <w:bCs/>
          <w:kern w:val="0"/>
          <w:sz w:val="20"/>
          <w:szCs w:val="20"/>
          <w:lang w:val="en-GB"/>
          <w14:ligatures w14:val="none"/>
        </w:rPr>
        <w:t>&gt;CIN&gt;</w:t>
      </w:r>
      <w:r w:rsidR="00615EC7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THC&gt;CBD&gt;</w:t>
      </w:r>
      <w:r w:rsidR="00FC0082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CBCA</w:t>
      </w:r>
      <w:r w:rsidR="00B914D4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.</w:t>
      </w:r>
    </w:p>
    <w:p w14:paraId="37683296" w14:textId="263AA073" w:rsid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65E846CD" w14:textId="02522623" w:rsidR="00C315D2" w:rsidRPr="008E6603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A5706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TRPA1 </w:t>
      </w:r>
      <w:r w:rsidR="006E6FD6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activation in both </w:t>
      </w:r>
      <w:r w:rsidR="006E6FD6" w:rsidRPr="00F40F35">
        <w:rPr>
          <w:rFonts w:ascii="Arial" w:eastAsia="Calibri" w:hAnsi="Arial" w:cs="Calibri"/>
          <w:bCs/>
          <w:i/>
          <w:iCs/>
          <w:kern w:val="0"/>
          <w:sz w:val="20"/>
          <w:szCs w:val="20"/>
          <w:lang w:val="en-US"/>
          <w14:ligatures w14:val="none"/>
        </w:rPr>
        <w:t xml:space="preserve">C. elegans </w:t>
      </w:r>
      <w:r w:rsidR="00F40F3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and human cells </w:t>
      </w:r>
      <w:r w:rsidR="002232D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has</w:t>
      </w:r>
      <w:r w:rsidR="00F40F3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been shown</w:t>
      </w:r>
      <w:r w:rsidR="002232D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to</w:t>
      </w:r>
      <w:r w:rsidR="00F40F3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DC669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signal and induce cellular changes </w:t>
      </w:r>
      <w:r w:rsidR="002F292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that are pro-adaptive against </w:t>
      </w:r>
      <w:r w:rsidR="008F463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certain</w:t>
      </w:r>
      <w:r w:rsidR="002F292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forms of </w:t>
      </w:r>
      <w:r w:rsidR="00336B2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reactive products </w:t>
      </w:r>
      <w:r w:rsidR="00CB03E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(i.e. ROS</w:t>
      </w:r>
      <w:r w:rsidR="001E5EBA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, </w:t>
      </w:r>
      <w:r w:rsidR="00CB03E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glyoxals</w:t>
      </w:r>
      <w:r w:rsidR="001E5EBA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, </w:t>
      </w:r>
      <w:r w:rsidR="000D0F9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and </w:t>
      </w:r>
      <w:r w:rsidR="001E5EBA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protein</w:t>
      </w:r>
      <w:r w:rsidR="000D0F9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aggregates</w:t>
      </w:r>
      <w:r w:rsidR="00CB03E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)</w:t>
      </w:r>
      <w:r w:rsidR="002232D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336B2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encountered and produced </w:t>
      </w:r>
      <w:r w:rsidR="0049256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during the cellular ageing process</w:t>
      </w:r>
      <w:r w:rsidR="002D7D19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</w:t>
      </w:r>
      <w:r w:rsidR="00C235AA" w:rsidRPr="00E9297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 xml:space="preserve">1,2,3 </w:t>
      </w:r>
      <w:r w:rsidR="00BD12D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40478A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Phytocannabinoids</w:t>
      </w:r>
      <w:r w:rsidR="00A45A9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form the starting point in </w:t>
      </w:r>
      <w:r w:rsidR="002A17A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finding and developing a selective cannabinoid-like agonist of TRPA1</w:t>
      </w:r>
      <w:r w:rsidR="0098388C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, with the </w:t>
      </w:r>
      <w:r w:rsidR="00EA1E7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aim of using cannabinoid-like drugs to induce </w:t>
      </w:r>
      <w:r w:rsidR="00F4298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cellular adaptive changes </w:t>
      </w:r>
      <w:r w:rsidR="00457FF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to </w:t>
      </w:r>
      <w:r w:rsidR="005C6DC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ameliorate</w:t>
      </w:r>
      <w:r w:rsidR="00457FF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certain </w:t>
      </w:r>
      <w:r w:rsidR="005C6DC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conditions</w:t>
      </w:r>
      <w:r w:rsidR="00457FF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encountered</w:t>
      </w:r>
      <w:r w:rsidR="0058794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in age related decline </w:t>
      </w:r>
      <w:r w:rsidR="000B593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(i.e. diabetic neuropathy) </w:t>
      </w:r>
      <w:r w:rsidR="0058794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and</w:t>
      </w:r>
      <w:r w:rsidR="00457FF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0B593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induce </w:t>
      </w:r>
      <w:r w:rsidR="0058794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pro-longevity </w:t>
      </w:r>
      <w:r w:rsidR="005C6DC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in </w:t>
      </w:r>
      <w:r w:rsidR="005C6DCD" w:rsidRPr="00F40F35">
        <w:rPr>
          <w:rFonts w:ascii="Arial" w:eastAsia="Calibri" w:hAnsi="Arial" w:cs="Calibri"/>
          <w:bCs/>
          <w:i/>
          <w:iCs/>
          <w:kern w:val="0"/>
          <w:sz w:val="20"/>
          <w:szCs w:val="20"/>
          <w:lang w:val="en-US"/>
          <w14:ligatures w14:val="none"/>
        </w:rPr>
        <w:t>C. elegans</w:t>
      </w:r>
      <w:r w:rsidR="005C6DCD">
        <w:rPr>
          <w:rFonts w:ascii="Arial" w:eastAsia="Calibri" w:hAnsi="Arial" w:cs="Calibri"/>
          <w:bCs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r w:rsidR="000B593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models</w:t>
      </w:r>
      <w:r w:rsidR="005C6DC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of ageing</w:t>
      </w:r>
      <w:r w:rsidR="000B593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and </w:t>
      </w:r>
      <w:r w:rsidR="00EC5519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age-related</w:t>
      </w:r>
      <w:r w:rsidR="001E33AA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diseases.</w:t>
      </w:r>
    </w:p>
    <w:p w14:paraId="1AF10CAD" w14:textId="178EAC96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2C801966" w14:textId="70B3964A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06349DE0" w14:textId="7D240686" w:rsidR="00BD5440" w:rsidRPr="00BD5440" w:rsidRDefault="00BD5440" w:rsidP="00B83350">
      <w:pPr>
        <w:spacing w:after="0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BB2E0C">
        <w:rPr>
          <w:rFonts w:ascii="Arial" w:eastAsia="Calibri" w:hAnsi="Arial" w:cs="Calibri"/>
          <w:b/>
          <w:kern w:val="0"/>
          <w:sz w:val="20"/>
          <w:szCs w:val="20"/>
          <w:lang w:val="en-US"/>
          <w14:ligatures w14:val="none"/>
        </w:rPr>
        <w:t>1</w:t>
      </w:r>
      <w:r w:rsidRPr="00BD544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Xiao, R. et al. </w:t>
      </w:r>
      <w:r w:rsidR="00DC772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(2013) </w:t>
      </w:r>
      <w:r w:rsidRPr="00BD544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Cell 152, 806-817,</w:t>
      </w: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proofErr w:type="gramStart"/>
      <w:r w:rsidRPr="00BD544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doi:10.1016/j.cell</w:t>
      </w:r>
      <w:proofErr w:type="gramEnd"/>
      <w:r w:rsidRPr="00BD544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.2013.01.020</w:t>
      </w:r>
    </w:p>
    <w:p w14:paraId="0354CD8C" w14:textId="0E80C576" w:rsidR="00BD5440" w:rsidRPr="00BD5440" w:rsidRDefault="00BD5440" w:rsidP="00B83350">
      <w:pPr>
        <w:spacing w:after="0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BB2E0C">
        <w:rPr>
          <w:rFonts w:ascii="Arial" w:eastAsia="Calibri" w:hAnsi="Arial" w:cs="Calibri"/>
          <w:b/>
          <w:kern w:val="0"/>
          <w:sz w:val="20"/>
          <w:szCs w:val="20"/>
          <w:lang w:val="en-US"/>
          <w14:ligatures w14:val="none"/>
        </w:rPr>
        <w:t>2</w:t>
      </w:r>
      <w:r w:rsidRPr="00BD544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Chaudhuri, J. et al. </w:t>
      </w:r>
      <w:r w:rsidR="00DC772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(2016) </w:t>
      </w:r>
      <w:r w:rsidRPr="00BD544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Curr</w:t>
      </w: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Pr="00BD544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Biol 26, 3014-3025, </w:t>
      </w:r>
      <w:proofErr w:type="gramStart"/>
      <w:r w:rsidRPr="00BD544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doi:10.1016/j.cub</w:t>
      </w:r>
      <w:proofErr w:type="gramEnd"/>
      <w:r w:rsidRPr="00BD544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.2016.09.024</w:t>
      </w:r>
    </w:p>
    <w:p w14:paraId="538B07DC" w14:textId="030268F2" w:rsidR="00BD5440" w:rsidRPr="00BD5440" w:rsidRDefault="00BD5440" w:rsidP="00B83350">
      <w:pPr>
        <w:spacing w:after="0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BB2E0C">
        <w:rPr>
          <w:rFonts w:ascii="Arial" w:eastAsia="Calibri" w:hAnsi="Arial" w:cs="Calibri"/>
          <w:b/>
          <w:kern w:val="0"/>
          <w:sz w:val="20"/>
          <w:szCs w:val="20"/>
          <w:lang w:val="en-US"/>
          <w14:ligatures w14:val="none"/>
        </w:rPr>
        <w:t>3</w:t>
      </w:r>
      <w:r w:rsidR="00BE130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Pr="00BD544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Lee, H.J.et al.</w:t>
      </w:r>
      <w:r w:rsidR="00DC772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(2023)</w:t>
      </w:r>
      <w:r w:rsidRPr="00BD544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Nat Aging</w:t>
      </w: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Pr="00BD544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3, 546–566, doi:10.1038/s43587-023-00383-4</w:t>
      </w:r>
    </w:p>
    <w:p w14:paraId="1741C595" w14:textId="02FED6D6" w:rsidR="003F5F88" w:rsidRDefault="00BD5440" w:rsidP="00B83350">
      <w:pPr>
        <w:spacing w:after="0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BE1301">
        <w:rPr>
          <w:rFonts w:ascii="Arial" w:eastAsia="Calibri" w:hAnsi="Arial" w:cs="Calibri"/>
          <w:b/>
          <w:kern w:val="0"/>
          <w:sz w:val="20"/>
          <w:szCs w:val="20"/>
          <w:lang w:val="en-US"/>
          <w14:ligatures w14:val="none"/>
        </w:rPr>
        <w:t>4</w:t>
      </w:r>
      <w:r w:rsidR="00BE130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Pr="00BD544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De </w:t>
      </w:r>
      <w:proofErr w:type="spellStart"/>
      <w:r w:rsidRPr="00BD544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Petrocellis</w:t>
      </w:r>
      <w:proofErr w:type="spellEnd"/>
      <w:r w:rsidRPr="00BD544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, L. et al. </w:t>
      </w:r>
      <w:r w:rsidR="00DC772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(2011) </w:t>
      </w:r>
      <w:r w:rsidRPr="00BD544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Br J </w:t>
      </w:r>
      <w:proofErr w:type="spellStart"/>
      <w:r w:rsidRPr="00BD544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Pharmacol</w:t>
      </w:r>
      <w:proofErr w:type="spellEnd"/>
      <w:r w:rsidRPr="00BD544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163,1479-1494, doi:10.1111/j.1476-5381.</w:t>
      </w:r>
      <w:proofErr w:type="gramStart"/>
      <w:r w:rsidRPr="00BD544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2010.01166.x</w:t>
      </w:r>
      <w:proofErr w:type="gramEnd"/>
    </w:p>
    <w:p w14:paraId="22F2C085" w14:textId="452BDA0F" w:rsidR="000F6507" w:rsidRPr="00BD5440" w:rsidRDefault="000F6507" w:rsidP="00B83350">
      <w:pPr>
        <w:spacing w:after="0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0F6507">
        <w:rPr>
          <w:rFonts w:ascii="Arial" w:eastAsia="Calibri" w:hAnsi="Arial" w:cs="Calibri"/>
          <w:b/>
          <w:kern w:val="0"/>
          <w:sz w:val="20"/>
          <w:szCs w:val="20"/>
          <w:lang w:val="en-US"/>
          <w14:ligatures w14:val="none"/>
        </w:rPr>
        <w:t>5</w:t>
      </w:r>
      <w:r w:rsidRPr="000F650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Bianchi, B.R. et al. (2012) J </w:t>
      </w:r>
      <w:proofErr w:type="spellStart"/>
      <w:r w:rsidRPr="000F650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Pharmacol</w:t>
      </w:r>
      <w:proofErr w:type="spellEnd"/>
      <w:r w:rsidRPr="000F650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Exp Ther 341, 360-368, doi:10.1124/jpet.111.189902</w:t>
      </w:r>
    </w:p>
    <w:sectPr w:rsidR="000F6507" w:rsidRPr="00BD5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227C3"/>
    <w:rsid w:val="000566A6"/>
    <w:rsid w:val="00063815"/>
    <w:rsid w:val="000919C7"/>
    <w:rsid w:val="000B5933"/>
    <w:rsid w:val="000D0F98"/>
    <w:rsid w:val="000E350D"/>
    <w:rsid w:val="000F6507"/>
    <w:rsid w:val="00107368"/>
    <w:rsid w:val="00113BB7"/>
    <w:rsid w:val="00171751"/>
    <w:rsid w:val="00172B8C"/>
    <w:rsid w:val="001950F8"/>
    <w:rsid w:val="001E33AA"/>
    <w:rsid w:val="001E5EBA"/>
    <w:rsid w:val="002017E6"/>
    <w:rsid w:val="002232D4"/>
    <w:rsid w:val="00227194"/>
    <w:rsid w:val="00262668"/>
    <w:rsid w:val="002828E7"/>
    <w:rsid w:val="00294059"/>
    <w:rsid w:val="002A17A4"/>
    <w:rsid w:val="002B4AEE"/>
    <w:rsid w:val="002B7267"/>
    <w:rsid w:val="002D7BA5"/>
    <w:rsid w:val="002D7D19"/>
    <w:rsid w:val="002E76FE"/>
    <w:rsid w:val="002F2923"/>
    <w:rsid w:val="002F7D80"/>
    <w:rsid w:val="00300C10"/>
    <w:rsid w:val="003206E4"/>
    <w:rsid w:val="00336B28"/>
    <w:rsid w:val="003400ED"/>
    <w:rsid w:val="00387D18"/>
    <w:rsid w:val="003A6D5C"/>
    <w:rsid w:val="003A7F7C"/>
    <w:rsid w:val="003C73EC"/>
    <w:rsid w:val="003E5F63"/>
    <w:rsid w:val="003F5F88"/>
    <w:rsid w:val="0040478A"/>
    <w:rsid w:val="0041640A"/>
    <w:rsid w:val="00455EAB"/>
    <w:rsid w:val="00457FFB"/>
    <w:rsid w:val="00477337"/>
    <w:rsid w:val="0049256B"/>
    <w:rsid w:val="004A51B6"/>
    <w:rsid w:val="004A6197"/>
    <w:rsid w:val="004E5FD4"/>
    <w:rsid w:val="004F0FE0"/>
    <w:rsid w:val="004F20B8"/>
    <w:rsid w:val="00510CF8"/>
    <w:rsid w:val="00512551"/>
    <w:rsid w:val="00575A29"/>
    <w:rsid w:val="00586190"/>
    <w:rsid w:val="00587943"/>
    <w:rsid w:val="005A0801"/>
    <w:rsid w:val="005A3E77"/>
    <w:rsid w:val="005A4503"/>
    <w:rsid w:val="005A4B42"/>
    <w:rsid w:val="005C6A64"/>
    <w:rsid w:val="005C6DCD"/>
    <w:rsid w:val="00601754"/>
    <w:rsid w:val="00615EC7"/>
    <w:rsid w:val="00622747"/>
    <w:rsid w:val="00644C1C"/>
    <w:rsid w:val="00655C92"/>
    <w:rsid w:val="006645B6"/>
    <w:rsid w:val="00666C19"/>
    <w:rsid w:val="00677C56"/>
    <w:rsid w:val="006A3379"/>
    <w:rsid w:val="006A34BE"/>
    <w:rsid w:val="006B7381"/>
    <w:rsid w:val="006C00BD"/>
    <w:rsid w:val="006C135D"/>
    <w:rsid w:val="006E5C56"/>
    <w:rsid w:val="006E6FD6"/>
    <w:rsid w:val="006F3F1C"/>
    <w:rsid w:val="007141F2"/>
    <w:rsid w:val="007561D8"/>
    <w:rsid w:val="007709DE"/>
    <w:rsid w:val="00795378"/>
    <w:rsid w:val="00796206"/>
    <w:rsid w:val="007B530C"/>
    <w:rsid w:val="007C367E"/>
    <w:rsid w:val="007E261E"/>
    <w:rsid w:val="007E7118"/>
    <w:rsid w:val="008071C5"/>
    <w:rsid w:val="00831823"/>
    <w:rsid w:val="00836FBF"/>
    <w:rsid w:val="00845732"/>
    <w:rsid w:val="008728F4"/>
    <w:rsid w:val="008C57AD"/>
    <w:rsid w:val="008E6603"/>
    <w:rsid w:val="008E6C1B"/>
    <w:rsid w:val="008F4637"/>
    <w:rsid w:val="00906D34"/>
    <w:rsid w:val="00907A8B"/>
    <w:rsid w:val="009146BB"/>
    <w:rsid w:val="00920E17"/>
    <w:rsid w:val="00933DC9"/>
    <w:rsid w:val="00936D4C"/>
    <w:rsid w:val="009523F9"/>
    <w:rsid w:val="009650DF"/>
    <w:rsid w:val="0098388C"/>
    <w:rsid w:val="009B1CBB"/>
    <w:rsid w:val="009F0E7A"/>
    <w:rsid w:val="00A0516D"/>
    <w:rsid w:val="00A413D7"/>
    <w:rsid w:val="00A45A95"/>
    <w:rsid w:val="00A5140B"/>
    <w:rsid w:val="00A57060"/>
    <w:rsid w:val="00A62788"/>
    <w:rsid w:val="00A80951"/>
    <w:rsid w:val="00A96019"/>
    <w:rsid w:val="00AD4BF8"/>
    <w:rsid w:val="00B4721D"/>
    <w:rsid w:val="00B71064"/>
    <w:rsid w:val="00B83350"/>
    <w:rsid w:val="00B837CC"/>
    <w:rsid w:val="00B8473A"/>
    <w:rsid w:val="00B84C40"/>
    <w:rsid w:val="00B914D4"/>
    <w:rsid w:val="00B92A0D"/>
    <w:rsid w:val="00B9313A"/>
    <w:rsid w:val="00B950AA"/>
    <w:rsid w:val="00BB2E0C"/>
    <w:rsid w:val="00BD12D7"/>
    <w:rsid w:val="00BD5440"/>
    <w:rsid w:val="00BE1301"/>
    <w:rsid w:val="00BF7515"/>
    <w:rsid w:val="00C1759F"/>
    <w:rsid w:val="00C21815"/>
    <w:rsid w:val="00C235AA"/>
    <w:rsid w:val="00C23D20"/>
    <w:rsid w:val="00C315D2"/>
    <w:rsid w:val="00C353D8"/>
    <w:rsid w:val="00C53092"/>
    <w:rsid w:val="00C667DD"/>
    <w:rsid w:val="00C95ED6"/>
    <w:rsid w:val="00C96158"/>
    <w:rsid w:val="00CA1638"/>
    <w:rsid w:val="00CA37AE"/>
    <w:rsid w:val="00CB03E4"/>
    <w:rsid w:val="00CB4588"/>
    <w:rsid w:val="00CF1D50"/>
    <w:rsid w:val="00CF5A91"/>
    <w:rsid w:val="00D02BB1"/>
    <w:rsid w:val="00D1199D"/>
    <w:rsid w:val="00D45A74"/>
    <w:rsid w:val="00D6218B"/>
    <w:rsid w:val="00D740C0"/>
    <w:rsid w:val="00D7428F"/>
    <w:rsid w:val="00DA244F"/>
    <w:rsid w:val="00DC1600"/>
    <w:rsid w:val="00DC42C5"/>
    <w:rsid w:val="00DC6698"/>
    <w:rsid w:val="00DC7720"/>
    <w:rsid w:val="00E140A0"/>
    <w:rsid w:val="00E40B4C"/>
    <w:rsid w:val="00E92972"/>
    <w:rsid w:val="00EA1E77"/>
    <w:rsid w:val="00EA5288"/>
    <w:rsid w:val="00EA6A0B"/>
    <w:rsid w:val="00EB28A5"/>
    <w:rsid w:val="00EB7F38"/>
    <w:rsid w:val="00EC348E"/>
    <w:rsid w:val="00EC3746"/>
    <w:rsid w:val="00EC4F0E"/>
    <w:rsid w:val="00EC5519"/>
    <w:rsid w:val="00EF3476"/>
    <w:rsid w:val="00F14735"/>
    <w:rsid w:val="00F260F5"/>
    <w:rsid w:val="00F40F35"/>
    <w:rsid w:val="00F42984"/>
    <w:rsid w:val="00F43405"/>
    <w:rsid w:val="00F539FB"/>
    <w:rsid w:val="00F85528"/>
    <w:rsid w:val="00F95F20"/>
    <w:rsid w:val="00F96F7E"/>
    <w:rsid w:val="00FA290F"/>
    <w:rsid w:val="00FA568D"/>
    <w:rsid w:val="00FC0082"/>
    <w:rsid w:val="00FC2001"/>
    <w:rsid w:val="00FC3ED7"/>
    <w:rsid w:val="00FD54DC"/>
    <w:rsid w:val="00FD6200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table" w:styleId="GridTable3-Accent2">
    <w:name w:val="Grid Table 3 Accent 2"/>
    <w:basedOn w:val="TableNormal"/>
    <w:uiPriority w:val="48"/>
    <w:rsid w:val="0022719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00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0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0C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C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Props1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Ethan Noble-Green</cp:lastModifiedBy>
  <cp:revision>11</cp:revision>
  <dcterms:created xsi:type="dcterms:W3CDTF">2025-05-22T05:52:00Z</dcterms:created>
  <dcterms:modified xsi:type="dcterms:W3CDTF">2025-05-22T06:39:00Z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