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3B17647E" w:rsidR="00DF1C8E" w:rsidRDefault="008E12DC" w:rsidP="008E12DC">
      <w:pPr>
        <w:jc w:val="center"/>
        <w:rPr>
          <w:rFonts w:ascii="Calibri" w:hAnsi="Calibri" w:cs="Calibri"/>
          <w:b/>
          <w:sz w:val="28"/>
          <w:szCs w:val="28"/>
        </w:rPr>
      </w:pPr>
      <w:r w:rsidRPr="008E12DC">
        <w:rPr>
          <w:rFonts w:ascii="Calibri" w:hAnsi="Calibri" w:cs="Calibri"/>
          <w:b/>
          <w:sz w:val="28"/>
          <w:szCs w:val="28"/>
        </w:rPr>
        <w:t>Synthesis of a biodegradable-pH sensitive self-assembled polymeric theranostics for hepatic fibrosis</w:t>
      </w:r>
    </w:p>
    <w:p w14:paraId="0B7703A1" w14:textId="77777777" w:rsidR="008E12DC" w:rsidRDefault="008E12DC" w:rsidP="008E12DC">
      <w:pPr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1644910E" w14:textId="0371D18D" w:rsidR="008E12DC" w:rsidRPr="008E12DC" w:rsidRDefault="008E12DC" w:rsidP="008E12DC">
      <w:pPr>
        <w:jc w:val="center"/>
        <w:rPr>
          <w:rFonts w:ascii="Calibri" w:hAnsi="Calibri" w:cs="Calibri"/>
          <w:i/>
          <w:lang w:val="en-AU"/>
        </w:rPr>
      </w:pPr>
      <w:r w:rsidRPr="008E12DC">
        <w:rPr>
          <w:rFonts w:ascii="Calibri" w:hAnsi="Calibri" w:cs="Calibri"/>
          <w:i/>
          <w:u w:val="single"/>
        </w:rPr>
        <w:t>Arunpandian Balaji</w:t>
      </w:r>
      <w:r>
        <w:rPr>
          <w:rFonts w:ascii="Calibri" w:hAnsi="Calibri" w:cs="Calibri"/>
          <w:i/>
          <w:vertAlign w:val="superscript"/>
          <w:lang w:val="en-AU"/>
        </w:rPr>
        <w:t>A,B,C</w:t>
      </w:r>
      <w:r w:rsidRPr="008E12DC">
        <w:rPr>
          <w:rFonts w:ascii="Calibri" w:hAnsi="Calibri" w:cs="Calibri"/>
          <w:i/>
        </w:rPr>
        <w:t xml:space="preserve">, </w:t>
      </w:r>
      <w:r w:rsidRPr="008E12DC">
        <w:rPr>
          <w:rFonts w:ascii="Calibri" w:hAnsi="Calibri" w:cs="Calibri"/>
          <w:i/>
          <w:lang w:val="en-AU"/>
        </w:rPr>
        <w:t xml:space="preserve">Craig A. </w:t>
      </w:r>
      <w:proofErr w:type="spellStart"/>
      <w:r w:rsidRPr="008E12DC">
        <w:rPr>
          <w:rFonts w:ascii="Calibri" w:hAnsi="Calibri" w:cs="Calibri"/>
          <w:i/>
          <w:lang w:val="en-AU"/>
        </w:rPr>
        <w:t>Bell</w:t>
      </w:r>
      <w:r>
        <w:rPr>
          <w:rFonts w:ascii="Calibri" w:hAnsi="Calibri" w:cs="Calibri"/>
          <w:i/>
          <w:vertAlign w:val="superscript"/>
          <w:lang w:val="en-AU"/>
        </w:rPr>
        <w:t>A,B,C</w:t>
      </w:r>
      <w:proofErr w:type="spellEnd"/>
      <w:r w:rsidRPr="008E12DC">
        <w:rPr>
          <w:rFonts w:ascii="Calibri" w:hAnsi="Calibri" w:cs="Calibri"/>
          <w:i/>
          <w:lang w:val="en-AU"/>
        </w:rPr>
        <w:t xml:space="preserve">, Zachary H. </w:t>
      </w:r>
      <w:proofErr w:type="spellStart"/>
      <w:r w:rsidRPr="008E12DC">
        <w:rPr>
          <w:rFonts w:ascii="Calibri" w:hAnsi="Calibri" w:cs="Calibri"/>
          <w:i/>
          <w:lang w:val="en-AU"/>
        </w:rPr>
        <w:t>Houston</w:t>
      </w:r>
      <w:r>
        <w:rPr>
          <w:rFonts w:ascii="Calibri" w:hAnsi="Calibri" w:cs="Calibri"/>
          <w:i/>
          <w:vertAlign w:val="superscript"/>
          <w:lang w:val="en-AU"/>
        </w:rPr>
        <w:t>A,B,C</w:t>
      </w:r>
      <w:proofErr w:type="spellEnd"/>
      <w:r w:rsidRPr="008E12DC">
        <w:rPr>
          <w:rFonts w:ascii="Calibri" w:hAnsi="Calibri" w:cs="Calibri"/>
          <w:i/>
          <w:lang w:val="en-AU"/>
        </w:rPr>
        <w:t xml:space="preserve">, Kristofer J. </w:t>
      </w:r>
      <w:proofErr w:type="spellStart"/>
      <w:r w:rsidRPr="008E12DC">
        <w:rPr>
          <w:rFonts w:ascii="Calibri" w:hAnsi="Calibri" w:cs="Calibri"/>
          <w:i/>
          <w:lang w:val="en-AU"/>
        </w:rPr>
        <w:t>Thurecht</w:t>
      </w:r>
      <w:r>
        <w:rPr>
          <w:rFonts w:ascii="Calibri" w:hAnsi="Calibri" w:cs="Calibri"/>
          <w:i/>
          <w:vertAlign w:val="superscript"/>
          <w:lang w:val="en-AU"/>
        </w:rPr>
        <w:t>A,B,C</w:t>
      </w:r>
      <w:proofErr w:type="spellEnd"/>
    </w:p>
    <w:p w14:paraId="6C2E8E13" w14:textId="10EA1BCA" w:rsidR="008E12DC" w:rsidRPr="008E12DC" w:rsidRDefault="008E12DC" w:rsidP="008E12DC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</w:rPr>
        <w:t>A</w:t>
      </w:r>
      <w:r w:rsidRPr="008E12DC">
        <w:rPr>
          <w:rFonts w:ascii="Calibri" w:hAnsi="Calibri" w:cs="Calibri"/>
          <w:sz w:val="22"/>
          <w:szCs w:val="22"/>
          <w:lang w:val="en-AU"/>
        </w:rPr>
        <w:t>Australian Institute of Bioengineering and Nanotechnology, University of Queensland, Brisbane 4072, Australia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8E12DC">
        <w:rPr>
          <w:rFonts w:ascii="Calibri" w:hAnsi="Calibri" w:cs="Calibri"/>
          <w:sz w:val="22"/>
          <w:szCs w:val="22"/>
          <w:lang w:val="en-AU"/>
        </w:rPr>
        <w:t>Centre</w:t>
      </w:r>
      <w:proofErr w:type="spellEnd"/>
      <w:r w:rsidRPr="008E12DC">
        <w:rPr>
          <w:rFonts w:ascii="Calibri" w:hAnsi="Calibri" w:cs="Calibri"/>
          <w:sz w:val="22"/>
          <w:szCs w:val="22"/>
          <w:lang w:val="en-AU"/>
        </w:rPr>
        <w:t xml:space="preserve"> for Advanced Imaging, University of Queensland, Brisbane 4072, Australia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8E12DC">
        <w:rPr>
          <w:rFonts w:ascii="Calibri" w:hAnsi="Calibri" w:cs="Calibri"/>
          <w:sz w:val="22"/>
          <w:szCs w:val="22"/>
          <w:lang w:val="en-AU"/>
        </w:rPr>
        <w:t>ARC Centre of Excellence in Convergent Bio-Nano Science and Technology, University of Queensland, Brisbane 4072, Australia</w:t>
      </w:r>
    </w:p>
    <w:p w14:paraId="1CE84672" w14:textId="1D6B799F" w:rsidR="00C123EF" w:rsidRDefault="008E12DC" w:rsidP="008E12DC">
      <w:pPr>
        <w:pStyle w:val="Default"/>
        <w:jc w:val="both"/>
        <w:rPr>
          <w:sz w:val="22"/>
          <w:szCs w:val="22"/>
        </w:rPr>
      </w:pPr>
      <w:r w:rsidRPr="00C123EF">
        <w:rPr>
          <w:b/>
          <w:color w:val="auto"/>
        </w:rPr>
        <w:t>Introduction</w:t>
      </w:r>
      <w:r w:rsidR="00C123EF">
        <w:rPr>
          <w:b/>
          <w:color w:val="auto"/>
        </w:rPr>
        <w:t>:</w:t>
      </w:r>
      <w:r>
        <w:rPr>
          <w:b/>
          <w:color w:val="auto"/>
          <w:sz w:val="22"/>
          <w:szCs w:val="22"/>
        </w:rPr>
        <w:t xml:space="preserve"> </w:t>
      </w:r>
      <w:r w:rsidRPr="008E12DC">
        <w:rPr>
          <w:sz w:val="22"/>
          <w:szCs w:val="22"/>
        </w:rPr>
        <w:t>Hepatic fibrosis (HF) is a common pathological feature of different liver diseases. Activated hepatic stellate cells, a prime mediator of HF, is the target for most of the anti-fibrotic agents. However, the lack of specificity and severe toxicity associated with systemically administered anti-fibrotic drugs significantly limits its clinical application, and there are currently no FDA approved drugs available for HF</w:t>
      </w:r>
      <w:r w:rsidR="00C123EF">
        <w:rPr>
          <w:sz w:val="22"/>
          <w:szCs w:val="22"/>
        </w:rPr>
        <w:t xml:space="preserve"> (</w:t>
      </w:r>
      <w:r w:rsidR="00C123EF" w:rsidRPr="000F3963">
        <w:rPr>
          <w:rFonts w:asciiTheme="minorHAnsi" w:hAnsiTheme="minorHAnsi" w:cstheme="minorHAnsi"/>
          <w:sz w:val="22"/>
          <w:szCs w:val="22"/>
          <w:lang w:eastAsia="en-AU"/>
        </w:rPr>
        <w:t>Bhatia</w:t>
      </w:r>
      <w:r w:rsidR="00C123EF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C123EF" w:rsidRPr="00C123EF">
        <w:rPr>
          <w:rFonts w:asciiTheme="minorHAnsi" w:hAnsiTheme="minorHAnsi" w:cstheme="minorHAnsi"/>
          <w:i/>
          <w:sz w:val="22"/>
          <w:szCs w:val="22"/>
          <w:lang w:eastAsia="en-AU"/>
        </w:rPr>
        <w:t>et al</w:t>
      </w:r>
      <w:r w:rsidRPr="008E12DC">
        <w:rPr>
          <w:sz w:val="22"/>
          <w:szCs w:val="22"/>
        </w:rPr>
        <w:t>.</w:t>
      </w:r>
      <w:r w:rsidR="00C123EF">
        <w:rPr>
          <w:sz w:val="22"/>
          <w:szCs w:val="22"/>
        </w:rPr>
        <w:t xml:space="preserve"> 2014, </w:t>
      </w:r>
      <w:r w:rsidR="00C123EF">
        <w:rPr>
          <w:rFonts w:asciiTheme="minorHAnsi" w:hAnsiTheme="minorHAnsi" w:cstheme="minorHAnsi"/>
          <w:sz w:val="22"/>
          <w:szCs w:val="22"/>
          <w:lang w:eastAsia="en-AU"/>
        </w:rPr>
        <w:t>Forbes</w:t>
      </w:r>
      <w:r w:rsidR="00C123EF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C123EF" w:rsidRPr="00C123EF">
        <w:rPr>
          <w:rFonts w:asciiTheme="minorHAnsi" w:hAnsiTheme="minorHAnsi" w:cstheme="minorHAnsi"/>
          <w:i/>
          <w:sz w:val="22"/>
          <w:szCs w:val="22"/>
          <w:lang w:eastAsia="en-AU"/>
        </w:rPr>
        <w:t>et al</w:t>
      </w:r>
      <w:r w:rsidR="00C123EF">
        <w:rPr>
          <w:rFonts w:asciiTheme="minorHAnsi" w:hAnsiTheme="minorHAnsi" w:cstheme="minorHAnsi"/>
          <w:sz w:val="22"/>
          <w:szCs w:val="22"/>
          <w:lang w:eastAsia="en-AU"/>
        </w:rPr>
        <w:t>. 2016)</w:t>
      </w:r>
    </w:p>
    <w:p w14:paraId="05D2AE0D" w14:textId="77777777" w:rsidR="00C123EF" w:rsidRDefault="008E12DC" w:rsidP="008E12DC">
      <w:pPr>
        <w:pStyle w:val="Default"/>
        <w:jc w:val="both"/>
        <w:rPr>
          <w:sz w:val="22"/>
          <w:szCs w:val="22"/>
        </w:rPr>
      </w:pPr>
      <w:r w:rsidRPr="00C123EF">
        <w:rPr>
          <w:b/>
        </w:rPr>
        <w:t>Methods:</w:t>
      </w:r>
      <w:r>
        <w:rPr>
          <w:sz w:val="22"/>
          <w:szCs w:val="22"/>
        </w:rPr>
        <w:t xml:space="preserve"> </w:t>
      </w:r>
      <w:r w:rsidRPr="008E12DC">
        <w:rPr>
          <w:sz w:val="22"/>
          <w:szCs w:val="22"/>
        </w:rPr>
        <w:t>Recently, nanoparticle-based drug delivery systems have shown great potential to deliver drugs to the fibrotic liver. However, more in-depth research is required to understand the effect of targeting ligands used and the fibrosis stage on the intrahepatic distribution of nanoparticles</w:t>
      </w:r>
      <w:r w:rsidR="00C123EF">
        <w:rPr>
          <w:sz w:val="22"/>
          <w:szCs w:val="22"/>
        </w:rPr>
        <w:t xml:space="preserve"> (</w:t>
      </w:r>
      <w:r w:rsidR="00C123EF" w:rsidRPr="000F3963">
        <w:rPr>
          <w:rFonts w:asciiTheme="minorHAnsi" w:hAnsiTheme="minorHAnsi" w:cstheme="minorHAnsi"/>
          <w:sz w:val="22"/>
          <w:szCs w:val="22"/>
          <w:lang w:eastAsia="en-AU"/>
        </w:rPr>
        <w:t>Pellicoro</w:t>
      </w:r>
      <w:r w:rsidR="00C123EF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C123EF" w:rsidRPr="00C123EF">
        <w:rPr>
          <w:rFonts w:asciiTheme="minorHAnsi" w:hAnsiTheme="minorHAnsi" w:cstheme="minorHAnsi"/>
          <w:i/>
          <w:sz w:val="22"/>
          <w:szCs w:val="22"/>
          <w:lang w:eastAsia="en-AU"/>
        </w:rPr>
        <w:t>et al</w:t>
      </w:r>
      <w:r w:rsidRPr="008E12DC">
        <w:rPr>
          <w:sz w:val="22"/>
          <w:szCs w:val="22"/>
        </w:rPr>
        <w:t>.</w:t>
      </w:r>
      <w:r w:rsidR="00C123EF">
        <w:rPr>
          <w:sz w:val="22"/>
          <w:szCs w:val="22"/>
        </w:rPr>
        <w:t xml:space="preserve"> 2014).</w:t>
      </w:r>
      <w:r w:rsidRPr="008E12DC">
        <w:rPr>
          <w:sz w:val="22"/>
          <w:szCs w:val="22"/>
        </w:rPr>
        <w:t xml:space="preserve"> For this purpose, a biodegradable polymer system was synthesized using reversible deactivation radical </w:t>
      </w:r>
      <w:proofErr w:type="spellStart"/>
      <w:r w:rsidRPr="008E12DC">
        <w:rPr>
          <w:sz w:val="22"/>
          <w:szCs w:val="22"/>
        </w:rPr>
        <w:t>polymerisation</w:t>
      </w:r>
      <w:proofErr w:type="spellEnd"/>
      <w:r w:rsidRPr="008E12DC">
        <w:rPr>
          <w:sz w:val="22"/>
          <w:szCs w:val="22"/>
        </w:rPr>
        <w:t xml:space="preserve"> (RDRP) of 2-methylene-1</w:t>
      </w:r>
      <w:proofErr w:type="gramStart"/>
      <w:r w:rsidRPr="008E12DC">
        <w:rPr>
          <w:sz w:val="22"/>
          <w:szCs w:val="22"/>
        </w:rPr>
        <w:t>,3</w:t>
      </w:r>
      <w:proofErr w:type="gramEnd"/>
      <w:r w:rsidRPr="008E12DC">
        <w:rPr>
          <w:sz w:val="22"/>
          <w:szCs w:val="22"/>
        </w:rPr>
        <w:t xml:space="preserve">-dioxepane (MDO) and vinyl levulinate using a PEG-based xanthate macro-chain transfer agent (CTA) </w:t>
      </w:r>
    </w:p>
    <w:p w14:paraId="08F458D6" w14:textId="183ED0D5" w:rsidR="00C123EF" w:rsidRDefault="008C6374" w:rsidP="008E12DC">
      <w:pPr>
        <w:pStyle w:val="Default"/>
        <w:jc w:val="both"/>
        <w:rPr>
          <w:sz w:val="22"/>
          <w:szCs w:val="22"/>
        </w:rPr>
      </w:pPr>
      <w:r w:rsidRPr="00C123EF">
        <w:rPr>
          <w:b/>
        </w:rPr>
        <w:t>Results:</w:t>
      </w:r>
      <w:r>
        <w:rPr>
          <w:sz w:val="22"/>
          <w:szCs w:val="22"/>
        </w:rPr>
        <w:t xml:space="preserve"> B</w:t>
      </w:r>
      <w:r w:rsidR="008E12DC" w:rsidRPr="008E12DC">
        <w:rPr>
          <w:sz w:val="22"/>
          <w:szCs w:val="22"/>
        </w:rPr>
        <w:t>lock copolymers (PEG-</w:t>
      </w:r>
      <w:r w:rsidR="008E12DC" w:rsidRPr="008E12DC">
        <w:rPr>
          <w:i/>
          <w:sz w:val="22"/>
          <w:szCs w:val="22"/>
        </w:rPr>
        <w:t>b</w:t>
      </w:r>
      <w:r w:rsidR="008E12DC" w:rsidRPr="008E12DC">
        <w:rPr>
          <w:sz w:val="22"/>
          <w:szCs w:val="22"/>
        </w:rPr>
        <w:t>-</w:t>
      </w:r>
      <w:proofErr w:type="gramStart"/>
      <w:r w:rsidR="008E12DC" w:rsidRPr="008E12DC">
        <w:rPr>
          <w:sz w:val="22"/>
          <w:szCs w:val="22"/>
        </w:rPr>
        <w:t>poly(</w:t>
      </w:r>
      <w:proofErr w:type="gramEnd"/>
      <w:r w:rsidR="008E12DC" w:rsidRPr="008E12DC">
        <w:rPr>
          <w:sz w:val="22"/>
          <w:szCs w:val="22"/>
        </w:rPr>
        <w:t xml:space="preserve">VL-co-MDO)) </w:t>
      </w:r>
      <w:r>
        <w:rPr>
          <w:sz w:val="22"/>
          <w:szCs w:val="22"/>
        </w:rPr>
        <w:t>with an average molecular weight (</w:t>
      </w:r>
      <w:proofErr w:type="spellStart"/>
      <w:r>
        <w:rPr>
          <w:sz w:val="22"/>
          <w:szCs w:val="22"/>
        </w:rPr>
        <w:t>M</w:t>
      </w:r>
      <w:r>
        <w:rPr>
          <w:sz w:val="22"/>
          <w:szCs w:val="22"/>
          <w:vertAlign w:val="subscript"/>
        </w:rPr>
        <w:t>n</w:t>
      </w:r>
      <w:proofErr w:type="spellEnd"/>
      <w:r>
        <w:rPr>
          <w:sz w:val="22"/>
          <w:szCs w:val="22"/>
        </w:rPr>
        <w:t xml:space="preserve">) of 10 </w:t>
      </w:r>
      <w:proofErr w:type="spellStart"/>
      <w:r>
        <w:rPr>
          <w:sz w:val="22"/>
          <w:szCs w:val="22"/>
        </w:rPr>
        <w:t>kDa</w:t>
      </w:r>
      <w:proofErr w:type="spellEnd"/>
      <w:r>
        <w:rPr>
          <w:sz w:val="22"/>
          <w:szCs w:val="22"/>
        </w:rPr>
        <w:t xml:space="preserve"> was </w:t>
      </w:r>
      <w:r w:rsidR="003D37E0">
        <w:rPr>
          <w:sz w:val="22"/>
          <w:szCs w:val="22"/>
        </w:rPr>
        <w:t xml:space="preserve">successfully </w:t>
      </w:r>
      <w:r>
        <w:rPr>
          <w:sz w:val="22"/>
          <w:szCs w:val="22"/>
        </w:rPr>
        <w:t>synthesized. The</w:t>
      </w:r>
      <w:r w:rsidR="003D37E0">
        <w:rPr>
          <w:sz w:val="22"/>
          <w:szCs w:val="22"/>
        </w:rPr>
        <w:t>se</w:t>
      </w:r>
      <w:r>
        <w:rPr>
          <w:sz w:val="22"/>
          <w:szCs w:val="22"/>
        </w:rPr>
        <w:t xml:space="preserve"> polymer chains </w:t>
      </w:r>
      <w:r w:rsidR="008E12DC" w:rsidRPr="008E12DC">
        <w:rPr>
          <w:sz w:val="22"/>
          <w:szCs w:val="22"/>
        </w:rPr>
        <w:t xml:space="preserve">exhibited complete degradation in PBS (pH - 7.4, 37 ˚C) due to the hydrolysis of randomly arranged ester bonds in the polymer backbone. Upon slow addition of water, the polymers self-assembled to form micelles, which </w:t>
      </w:r>
      <w:proofErr w:type="gramStart"/>
      <w:r w:rsidR="008E12DC" w:rsidRPr="008E12DC">
        <w:rPr>
          <w:sz w:val="22"/>
          <w:szCs w:val="22"/>
        </w:rPr>
        <w:t>were then successfully cross-linked</w:t>
      </w:r>
      <w:proofErr w:type="gramEnd"/>
      <w:r w:rsidR="008E12DC" w:rsidRPr="008E12DC">
        <w:rPr>
          <w:sz w:val="22"/>
          <w:szCs w:val="22"/>
        </w:rPr>
        <w:t xml:space="preserve"> via pH-sensitive hydrazone bonds to obtain nanoparticles with a number-average hydrodynamic diameter (D</w:t>
      </w:r>
      <w:r w:rsidR="008E12DC" w:rsidRPr="008E12DC">
        <w:rPr>
          <w:sz w:val="22"/>
          <w:szCs w:val="22"/>
          <w:vertAlign w:val="subscript"/>
        </w:rPr>
        <w:t>H</w:t>
      </w:r>
      <w:r w:rsidR="008E12DC" w:rsidRPr="008E12DC">
        <w:rPr>
          <w:sz w:val="22"/>
          <w:szCs w:val="22"/>
        </w:rPr>
        <w:t xml:space="preserve">) of </w:t>
      </w:r>
      <w:r w:rsidR="008E12DC">
        <w:rPr>
          <w:sz w:val="22"/>
          <w:szCs w:val="22"/>
        </w:rPr>
        <w:t>30</w:t>
      </w:r>
      <w:r w:rsidR="008E12DC" w:rsidRPr="008E12DC">
        <w:rPr>
          <w:sz w:val="22"/>
          <w:szCs w:val="22"/>
        </w:rPr>
        <w:t xml:space="preserve"> nm (Fig 1). Furthermore, the protected functional group on the nanoparticle surface </w:t>
      </w:r>
      <w:proofErr w:type="gramStart"/>
      <w:r w:rsidR="008E12DC" w:rsidRPr="008E12DC">
        <w:rPr>
          <w:sz w:val="22"/>
          <w:szCs w:val="22"/>
        </w:rPr>
        <w:t>was</w:t>
      </w:r>
      <w:r w:rsidR="00E34435">
        <w:rPr>
          <w:sz w:val="22"/>
          <w:szCs w:val="22"/>
        </w:rPr>
        <w:t xml:space="preserve"> </w:t>
      </w:r>
      <w:bookmarkStart w:id="0" w:name="_GoBack"/>
      <w:bookmarkEnd w:id="0"/>
      <w:r w:rsidR="008E12DC" w:rsidRPr="008E12DC">
        <w:rPr>
          <w:sz w:val="22"/>
          <w:szCs w:val="22"/>
        </w:rPr>
        <w:t>utilized</w:t>
      </w:r>
      <w:proofErr w:type="gramEnd"/>
      <w:r w:rsidR="008E12DC" w:rsidRPr="008E12DC">
        <w:rPr>
          <w:sz w:val="22"/>
          <w:szCs w:val="22"/>
        </w:rPr>
        <w:t xml:space="preserve"> to conjugate targeting ligands and a positron emission tomography (PET) </w:t>
      </w:r>
      <w:r w:rsidR="00C123EF">
        <w:rPr>
          <w:sz w:val="22"/>
          <w:szCs w:val="22"/>
        </w:rPr>
        <w:t>chelator</w:t>
      </w:r>
      <w:r w:rsidR="008E12DC" w:rsidRPr="008E12DC">
        <w:rPr>
          <w:sz w:val="22"/>
          <w:szCs w:val="22"/>
        </w:rPr>
        <w:t xml:space="preserve"> </w:t>
      </w:r>
    </w:p>
    <w:p w14:paraId="47D9DB4A" w14:textId="7E6BCF15" w:rsidR="008E12DC" w:rsidRPr="008E12DC" w:rsidRDefault="008C6374" w:rsidP="008E12DC">
      <w:pPr>
        <w:pStyle w:val="Default"/>
        <w:jc w:val="both"/>
        <w:rPr>
          <w:b/>
          <w:sz w:val="22"/>
          <w:szCs w:val="22"/>
        </w:rPr>
      </w:pPr>
      <w:r w:rsidRPr="00C123EF">
        <w:rPr>
          <w:b/>
        </w:rPr>
        <w:t>Conclusion:</w:t>
      </w:r>
      <w:r>
        <w:rPr>
          <w:sz w:val="22"/>
          <w:szCs w:val="22"/>
        </w:rPr>
        <w:t xml:space="preserve"> </w:t>
      </w:r>
      <w:r w:rsidR="003D37E0">
        <w:rPr>
          <w:sz w:val="22"/>
          <w:szCs w:val="22"/>
        </w:rPr>
        <w:t xml:space="preserve">A novel biodegradable </w:t>
      </w:r>
      <w:r w:rsidR="000F3963">
        <w:rPr>
          <w:sz w:val="22"/>
          <w:szCs w:val="22"/>
        </w:rPr>
        <w:t>polymeric-</w:t>
      </w:r>
      <w:r w:rsidR="003D37E0">
        <w:rPr>
          <w:sz w:val="22"/>
          <w:szCs w:val="22"/>
        </w:rPr>
        <w:t>nanoparticle system with optimal physicochemical properties and biodistribution profile was successfully developed. In f</w:t>
      </w:r>
      <w:r w:rsidR="008E12DC" w:rsidRPr="008E12DC">
        <w:rPr>
          <w:sz w:val="22"/>
          <w:szCs w:val="22"/>
        </w:rPr>
        <w:t>uture work</w:t>
      </w:r>
      <w:r w:rsidR="003D37E0">
        <w:rPr>
          <w:sz w:val="22"/>
          <w:szCs w:val="22"/>
        </w:rPr>
        <w:t>,</w:t>
      </w:r>
      <w:r w:rsidR="008E12DC" w:rsidRPr="008E12DC">
        <w:rPr>
          <w:sz w:val="22"/>
          <w:szCs w:val="22"/>
        </w:rPr>
        <w:t xml:space="preserve"> the efficacy of these nanoparticles </w:t>
      </w:r>
      <w:proofErr w:type="gramStart"/>
      <w:r w:rsidR="003D37E0">
        <w:rPr>
          <w:sz w:val="22"/>
          <w:szCs w:val="22"/>
        </w:rPr>
        <w:t>will be tested</w:t>
      </w:r>
      <w:proofErr w:type="gramEnd"/>
      <w:r w:rsidR="003D37E0">
        <w:rPr>
          <w:sz w:val="22"/>
          <w:szCs w:val="22"/>
        </w:rPr>
        <w:t xml:space="preserve"> </w:t>
      </w:r>
      <w:r w:rsidR="008E12DC" w:rsidRPr="008E12DC">
        <w:rPr>
          <w:sz w:val="22"/>
          <w:szCs w:val="22"/>
        </w:rPr>
        <w:t xml:space="preserve">in animal models at various stages of HF. </w:t>
      </w:r>
    </w:p>
    <w:p w14:paraId="0BBE77B5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8E12DC">
        <w:rPr>
          <w:rFonts w:ascii="Calibri" w:hAnsi="Calibri" w:cs="Calibri"/>
          <w:sz w:val="22"/>
          <w:szCs w:val="22"/>
          <w:lang w:val="en-AU"/>
        </w:rPr>
        <w:drawing>
          <wp:anchor distT="0" distB="0" distL="114300" distR="114300" simplePos="0" relativeHeight="251660800" behindDoc="0" locked="0" layoutInCell="1" allowOverlap="1" wp14:anchorId="0F8147BB" wp14:editId="07560471">
            <wp:simplePos x="0" y="0"/>
            <wp:positionH relativeFrom="column">
              <wp:posOffset>1261110</wp:posOffset>
            </wp:positionH>
            <wp:positionV relativeFrom="paragraph">
              <wp:posOffset>62230</wp:posOffset>
            </wp:positionV>
            <wp:extent cx="4160520" cy="2981325"/>
            <wp:effectExtent l="0" t="0" r="0" b="9525"/>
            <wp:wrapSquare wrapText="bothSides"/>
            <wp:docPr id="2" name="Picture 2" descr="C:\Project data\Liver disease\Posters and presentations\APS\APS graphical abstrac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 data\Liver disease\Posters and presentations\APS\APS graphical abstract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31BB8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034B27D5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543BC84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42A3FF41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28842F5D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219D8F3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64A4DE22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23EAA1EF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B5310A8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3CB2FE22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39CC36FE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6A66838A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9D13A18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6AAE9950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473C6FCC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499C7DD" w14:textId="77777777" w:rsidR="008E12DC" w:rsidRPr="008E12DC" w:rsidRDefault="008E12DC" w:rsidP="008E12DC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496D9992" w14:textId="77777777" w:rsidR="000F3963" w:rsidRDefault="000F3963" w:rsidP="008E12DC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</w:p>
    <w:p w14:paraId="5EEB9A0A" w14:textId="543D297E" w:rsidR="008E12DC" w:rsidRPr="00C123EF" w:rsidRDefault="008E12DC" w:rsidP="008E12DC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C123EF">
        <w:rPr>
          <w:rFonts w:ascii="Calibri" w:hAnsi="Calibri" w:cs="Calibri"/>
          <w:b/>
          <w:sz w:val="20"/>
          <w:szCs w:val="20"/>
          <w:lang w:val="en-GB"/>
        </w:rPr>
        <w:t>Figure 1</w:t>
      </w:r>
      <w:r w:rsidRPr="00C123EF">
        <w:rPr>
          <w:rFonts w:ascii="Calibri" w:hAnsi="Calibri" w:cs="Calibri"/>
          <w:sz w:val="20"/>
          <w:szCs w:val="20"/>
          <w:lang w:val="en-GB"/>
        </w:rPr>
        <w:t>. Development of a novel drug delivery system for hepatic fibrosis</w:t>
      </w:r>
    </w:p>
    <w:p w14:paraId="0CD68EE5" w14:textId="77777777" w:rsidR="001474D0" w:rsidRDefault="001474D0" w:rsidP="00711813">
      <w:pPr>
        <w:jc w:val="both"/>
        <w:rPr>
          <w:rFonts w:ascii="Calibri" w:hAnsi="Calibri" w:cs="Calibri"/>
          <w:b/>
          <w:sz w:val="16"/>
          <w:szCs w:val="16"/>
          <w:lang w:val="en-AU"/>
        </w:rPr>
      </w:pPr>
    </w:p>
    <w:p w14:paraId="193725D9" w14:textId="2D50B904" w:rsidR="005F19FF" w:rsidRPr="001474D0" w:rsidRDefault="005F19FF" w:rsidP="00711813">
      <w:pPr>
        <w:jc w:val="both"/>
        <w:rPr>
          <w:rFonts w:ascii="Calibri" w:hAnsi="Calibri" w:cs="Calibri"/>
          <w:b/>
          <w:sz w:val="16"/>
          <w:szCs w:val="16"/>
          <w:lang w:val="en-AU"/>
        </w:rPr>
      </w:pPr>
      <w:r w:rsidRPr="001474D0">
        <w:rPr>
          <w:rFonts w:ascii="Calibri" w:hAnsi="Calibri" w:cs="Calibri"/>
          <w:b/>
          <w:sz w:val="16"/>
          <w:szCs w:val="16"/>
          <w:lang w:val="en-AU"/>
        </w:rPr>
        <w:t>References</w:t>
      </w:r>
    </w:p>
    <w:p w14:paraId="78E932AC" w14:textId="71FBB89E" w:rsidR="000F3963" w:rsidRPr="001474D0" w:rsidRDefault="000F3963" w:rsidP="000F3963">
      <w:pPr>
        <w:shd w:val="clear" w:color="auto" w:fill="FFFFFF"/>
        <w:textAlignment w:val="top"/>
        <w:rPr>
          <w:rFonts w:asciiTheme="minorHAnsi" w:hAnsiTheme="minorHAnsi" w:cstheme="minorHAnsi"/>
          <w:sz w:val="16"/>
          <w:szCs w:val="16"/>
          <w:lang w:eastAsia="en-AU"/>
        </w:rPr>
      </w:pPr>
      <w:r w:rsidRPr="001474D0">
        <w:rPr>
          <w:rFonts w:asciiTheme="minorHAnsi" w:hAnsiTheme="minorHAnsi" w:cstheme="minorHAnsi"/>
          <w:sz w:val="16"/>
          <w:szCs w:val="16"/>
          <w:lang w:eastAsia="en-AU"/>
        </w:rPr>
        <w:t>Bhatia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, </w:t>
      </w:r>
      <w:proofErr w:type="gram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SN.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,</w:t>
      </w:r>
      <w:proofErr w:type="gram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Underhill,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GH.,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Zaret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>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KS.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Fox,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IJ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(2014)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.</w:t>
      </w:r>
      <w:r w:rsidRPr="001474D0">
        <w:rPr>
          <w:sz w:val="16"/>
          <w:szCs w:val="16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Cell and tissue engineering for liver disease.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Sci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Transl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Med., 6, 1-21.</w:t>
      </w:r>
    </w:p>
    <w:p w14:paraId="06A98AE8" w14:textId="57D596DE" w:rsidR="000F3963" w:rsidRPr="001474D0" w:rsidRDefault="000F3963" w:rsidP="000F3963">
      <w:pPr>
        <w:shd w:val="clear" w:color="auto" w:fill="FFFFFF"/>
        <w:textAlignment w:val="top"/>
        <w:rPr>
          <w:rFonts w:asciiTheme="minorHAnsi" w:hAnsiTheme="minorHAnsi" w:cstheme="minorHAnsi"/>
          <w:sz w:val="16"/>
          <w:szCs w:val="16"/>
          <w:lang w:eastAsia="en-AU"/>
        </w:rPr>
      </w:pPr>
      <w:r w:rsidRPr="001474D0">
        <w:rPr>
          <w:rFonts w:asciiTheme="minorHAnsi" w:hAnsiTheme="minorHAnsi" w:cstheme="minorHAnsi"/>
          <w:sz w:val="16"/>
          <w:szCs w:val="16"/>
          <w:lang w:eastAsia="en-AU"/>
        </w:rPr>
        <w:t>Forbes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, SJ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&amp; Newsome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,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PN. (2016)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.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Liver regeneration - mechanisms and models to clinical application</w:t>
      </w:r>
      <w:r w:rsidR="00C123EF"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.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Nat Rev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Gastroenterol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Hepatol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>.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, 13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, 473-85.</w:t>
      </w:r>
    </w:p>
    <w:p w14:paraId="19A0A76F" w14:textId="387CF85C" w:rsidR="00F97620" w:rsidRPr="001474D0" w:rsidRDefault="000F3963" w:rsidP="001474D0">
      <w:pPr>
        <w:shd w:val="clear" w:color="auto" w:fill="FFFFFF"/>
        <w:textAlignment w:val="top"/>
        <w:rPr>
          <w:rFonts w:ascii="Calibri" w:hAnsi="Calibri" w:cs="Calibri"/>
          <w:sz w:val="16"/>
          <w:szCs w:val="16"/>
          <w:lang w:val="en-AU"/>
        </w:rPr>
      </w:pPr>
      <w:r w:rsidRPr="001474D0">
        <w:rPr>
          <w:rFonts w:asciiTheme="minorHAnsi" w:hAnsiTheme="minorHAnsi" w:cstheme="minorHAnsi"/>
          <w:sz w:val="16"/>
          <w:szCs w:val="16"/>
          <w:lang w:eastAsia="en-AU"/>
        </w:rPr>
        <w:t>Pellicoro,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A.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Ramachandran,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P.,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Iredale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, </w:t>
      </w:r>
      <w:proofErr w:type="gram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JP.,</w:t>
      </w:r>
      <w:proofErr w:type="gram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Fallowfield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>, JA.,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(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>2014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). </w:t>
      </w:r>
      <w:r w:rsidR="00C123EF"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Liver fibrosis and repair: immune regulation of wound healing in a solid organ. </w:t>
      </w:r>
      <w:r w:rsidRPr="001474D0">
        <w:rPr>
          <w:rFonts w:asciiTheme="minorHAnsi" w:hAnsiTheme="minorHAnsi" w:cstheme="minorHAnsi"/>
          <w:sz w:val="16"/>
          <w:szCs w:val="16"/>
          <w:lang w:eastAsia="en-AU"/>
        </w:rPr>
        <w:t xml:space="preserve">Nat. Rev. </w:t>
      </w:r>
      <w:proofErr w:type="spellStart"/>
      <w:r w:rsidRPr="001474D0">
        <w:rPr>
          <w:rFonts w:asciiTheme="minorHAnsi" w:hAnsiTheme="minorHAnsi" w:cstheme="minorHAnsi"/>
          <w:sz w:val="16"/>
          <w:szCs w:val="16"/>
          <w:lang w:eastAsia="en-AU"/>
        </w:rPr>
        <w:t>Immunol</w:t>
      </w:r>
      <w:proofErr w:type="spellEnd"/>
      <w:r w:rsidRPr="001474D0">
        <w:rPr>
          <w:rFonts w:asciiTheme="minorHAnsi" w:hAnsiTheme="minorHAnsi" w:cstheme="minorHAnsi"/>
          <w:sz w:val="16"/>
          <w:szCs w:val="16"/>
          <w:lang w:eastAsia="en-AU"/>
        </w:rPr>
        <w:t>., 14, 181-194.</w:t>
      </w:r>
    </w:p>
    <w:sectPr w:rsidR="00F97620" w:rsidRPr="001474D0" w:rsidSect="00DC0ABB">
      <w:footerReference w:type="default" r:id="rId8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78B7" w14:textId="77777777" w:rsidR="00F35CE3" w:rsidRDefault="00F35CE3" w:rsidP="001474D0">
      <w:r>
        <w:separator/>
      </w:r>
    </w:p>
  </w:endnote>
  <w:endnote w:type="continuationSeparator" w:id="0">
    <w:p w14:paraId="48639E2C" w14:textId="77777777" w:rsidR="00F35CE3" w:rsidRDefault="00F35CE3" w:rsidP="001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2C3A" w14:textId="590DEAFE" w:rsidR="001474D0" w:rsidRPr="001474D0" w:rsidRDefault="001474D0">
    <w:pPr>
      <w:pStyle w:val="Footer"/>
      <w:rPr>
        <w:rFonts w:asciiTheme="minorHAnsi" w:hAnsiTheme="minorHAnsi" w:cstheme="minorHAnsi"/>
        <w:sz w:val="20"/>
        <w:szCs w:val="20"/>
      </w:rPr>
    </w:pPr>
    <w:r w:rsidRPr="001474D0">
      <w:rPr>
        <w:rFonts w:asciiTheme="minorHAnsi" w:hAnsiTheme="minorHAnsi" w:cstheme="minorHAnsi"/>
        <w:sz w:val="20"/>
        <w:szCs w:val="20"/>
      </w:rPr>
      <w:t xml:space="preserve">Corresponding author: </w:t>
    </w:r>
    <w:hyperlink r:id="rId1" w:history="1">
      <w:r w:rsidRPr="001474D0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shd w:val="clear" w:color="auto" w:fill="FFFFFF"/>
        </w:rPr>
        <w:t>k.thurecht@uq.edu.au</w:t>
      </w:r>
    </w:hyperlink>
    <w:r>
      <w:rPr>
        <w:rFonts w:asciiTheme="minorHAnsi" w:hAnsiTheme="minorHAnsi" w:cstheme="minorHAnsi"/>
        <w:sz w:val="20"/>
        <w:szCs w:val="20"/>
        <w:shd w:val="clear" w:color="auto" w:fill="FFFFFF"/>
      </w:rPr>
      <w:t>, a.balaji@uqconnect.edu.au</w:t>
    </w:r>
    <w:r w:rsidRPr="001474D0"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r w:rsidRPr="001474D0">
      <w:rPr>
        <w:rFonts w:asciiTheme="minorHAnsi" w:hAnsiTheme="minorHAnsi" w:cstheme="minorHAnsi"/>
        <w:sz w:val="20"/>
        <w:szCs w:val="20"/>
      </w:rPr>
      <w:t xml:space="preserve"> </w:t>
    </w:r>
  </w:p>
  <w:p w14:paraId="26231C48" w14:textId="77777777" w:rsidR="001474D0" w:rsidRDefault="001474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9166" w14:textId="77777777" w:rsidR="00F35CE3" w:rsidRDefault="00F35CE3" w:rsidP="001474D0">
      <w:r>
        <w:separator/>
      </w:r>
    </w:p>
  </w:footnote>
  <w:footnote w:type="continuationSeparator" w:id="0">
    <w:p w14:paraId="3931A6AD" w14:textId="77777777" w:rsidR="00F35CE3" w:rsidRDefault="00F35CE3" w:rsidP="001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je0tLQwNzMwsjRS0lEKTi0uzszPAykwrAUAW0qtciwAAAA="/>
  </w:docVars>
  <w:rsids>
    <w:rsidRoot w:val="002226BB"/>
    <w:rsid w:val="0004118E"/>
    <w:rsid w:val="00045573"/>
    <w:rsid w:val="000F3963"/>
    <w:rsid w:val="001474D0"/>
    <w:rsid w:val="001A21AD"/>
    <w:rsid w:val="002078AD"/>
    <w:rsid w:val="002226BB"/>
    <w:rsid w:val="00225236"/>
    <w:rsid w:val="002272B0"/>
    <w:rsid w:val="00300B92"/>
    <w:rsid w:val="0030585E"/>
    <w:rsid w:val="00387491"/>
    <w:rsid w:val="003D37E0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8C6374"/>
    <w:rsid w:val="008E12DC"/>
    <w:rsid w:val="00947B77"/>
    <w:rsid w:val="009B2641"/>
    <w:rsid w:val="009E2228"/>
    <w:rsid w:val="009F06D6"/>
    <w:rsid w:val="00A266B4"/>
    <w:rsid w:val="00BC5FCC"/>
    <w:rsid w:val="00C123EF"/>
    <w:rsid w:val="00C60A71"/>
    <w:rsid w:val="00CC165A"/>
    <w:rsid w:val="00D55F3B"/>
    <w:rsid w:val="00DA2731"/>
    <w:rsid w:val="00DC0ABB"/>
    <w:rsid w:val="00DF1C8E"/>
    <w:rsid w:val="00E34435"/>
    <w:rsid w:val="00EF12F3"/>
    <w:rsid w:val="00F26BBE"/>
    <w:rsid w:val="00F35CE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4D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4D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thurecht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3079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arun pandian</cp:lastModifiedBy>
  <cp:revision>3</cp:revision>
  <cp:lastPrinted>2013-06-13T05:15:00Z</cp:lastPrinted>
  <dcterms:created xsi:type="dcterms:W3CDTF">2019-08-18T22:24:00Z</dcterms:created>
  <dcterms:modified xsi:type="dcterms:W3CDTF">2019-08-18T22:24:00Z</dcterms:modified>
</cp:coreProperties>
</file>