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304CA82B" w:rsidR="00711813" w:rsidRPr="00DF1C8E" w:rsidRDefault="001766B7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1766B7">
        <w:rPr>
          <w:rFonts w:ascii="Calibri" w:hAnsi="Calibri" w:cs="Calibri"/>
          <w:b/>
          <w:sz w:val="28"/>
          <w:szCs w:val="28"/>
          <w:lang w:val="en-AU"/>
        </w:rPr>
        <w:t>Solution-less Perovskite Photovoltaics: from the nanoscale to industr</w:t>
      </w:r>
      <w:r w:rsidR="00BD3996">
        <w:rPr>
          <w:rFonts w:ascii="Calibri" w:hAnsi="Calibri" w:cs="Calibri"/>
          <w:b/>
          <w:sz w:val="28"/>
          <w:szCs w:val="28"/>
          <w:lang w:val="en-AU"/>
        </w:rPr>
        <w:t>ial scale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262BFD6D" w:rsidR="00DF1C8E" w:rsidRPr="005F19FF" w:rsidRDefault="007E1501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 w:rsidRPr="007E1501">
        <w:rPr>
          <w:rFonts w:ascii="Calibri" w:hAnsi="Calibri" w:cs="Calibri"/>
          <w:i/>
          <w:lang w:val="en-AU"/>
        </w:rPr>
        <w:t>Timothy W. Jones,</w:t>
      </w:r>
      <w:r w:rsidRPr="007E1501">
        <w:rPr>
          <w:rFonts w:ascii="Calibri" w:hAnsi="Calibri" w:cs="Calibri"/>
          <w:i/>
          <w:vertAlign w:val="superscript"/>
        </w:rPr>
        <w:t>1</w:t>
      </w:r>
      <w:r w:rsidRPr="007E1501">
        <w:rPr>
          <w:rFonts w:ascii="Calibri" w:hAnsi="Calibri" w:cs="Calibri"/>
          <w:i/>
          <w:lang w:val="en-AU"/>
        </w:rPr>
        <w:t xml:space="preserve"> Kenrick F. Anderson,</w:t>
      </w:r>
      <w:r w:rsidRPr="007E1501">
        <w:rPr>
          <w:rFonts w:ascii="Calibri" w:hAnsi="Calibri" w:cs="Calibri"/>
          <w:i/>
          <w:vertAlign w:val="superscript"/>
        </w:rPr>
        <w:t>1</w:t>
      </w:r>
      <w:r w:rsidRPr="007E1501">
        <w:rPr>
          <w:rFonts w:ascii="Calibri" w:hAnsi="Calibri" w:cs="Calibri"/>
          <w:i/>
          <w:lang w:val="en-AU"/>
        </w:rPr>
        <w:t xml:space="preserve"> Jacob (</w:t>
      </w:r>
      <w:proofErr w:type="spellStart"/>
      <w:r w:rsidRPr="007E1501">
        <w:rPr>
          <w:rFonts w:ascii="Calibri" w:hAnsi="Calibri" w:cs="Calibri"/>
          <w:i/>
          <w:lang w:val="en-AU"/>
        </w:rPr>
        <w:t>Tse</w:t>
      </w:r>
      <w:proofErr w:type="spellEnd"/>
      <w:r w:rsidRPr="007E1501">
        <w:rPr>
          <w:rFonts w:ascii="Calibri" w:hAnsi="Calibri" w:cs="Calibri"/>
          <w:i/>
          <w:lang w:val="en-AU"/>
        </w:rPr>
        <w:t>-Wei) Wang,</w:t>
      </w:r>
      <w:r w:rsidRPr="007E1501">
        <w:rPr>
          <w:rFonts w:ascii="Calibri" w:hAnsi="Calibri" w:cs="Calibri"/>
          <w:i/>
          <w:vertAlign w:val="superscript"/>
        </w:rPr>
        <w:t>1</w:t>
      </w:r>
      <w:r w:rsidRPr="007E1501">
        <w:rPr>
          <w:rFonts w:ascii="Calibri" w:hAnsi="Calibri" w:cs="Calibri"/>
          <w:i/>
          <w:lang w:val="en-AU"/>
        </w:rPr>
        <w:t xml:space="preserve"> </w:t>
      </w:r>
      <w:r>
        <w:rPr>
          <w:rFonts w:ascii="Calibri" w:hAnsi="Calibri" w:cs="Calibri"/>
          <w:i/>
          <w:lang w:val="en-AU"/>
        </w:rPr>
        <w:t>Terry Yang</w:t>
      </w:r>
      <w:r w:rsidRPr="007E1501">
        <w:rPr>
          <w:rFonts w:ascii="Calibri" w:hAnsi="Calibri" w:cs="Calibri"/>
          <w:i/>
          <w:lang w:val="en-AU"/>
        </w:rPr>
        <w:t>,</w:t>
      </w:r>
      <w:r w:rsidRPr="007E1501">
        <w:rPr>
          <w:rFonts w:ascii="Calibri" w:hAnsi="Calibri" w:cs="Calibri"/>
          <w:i/>
          <w:vertAlign w:val="superscript"/>
        </w:rPr>
        <w:t>1</w:t>
      </w:r>
      <w:r w:rsidRPr="007E1501">
        <w:rPr>
          <w:rFonts w:ascii="Calibri" w:hAnsi="Calibri" w:cs="Calibri"/>
          <w:i/>
          <w:lang w:val="en-AU"/>
        </w:rPr>
        <w:t xml:space="preserve"> Benjamin C. Duck,</w:t>
      </w:r>
      <w:r w:rsidRPr="007E1501">
        <w:rPr>
          <w:rFonts w:ascii="Calibri" w:hAnsi="Calibri" w:cs="Calibri"/>
          <w:i/>
          <w:vertAlign w:val="superscript"/>
        </w:rPr>
        <w:t>1</w:t>
      </w:r>
      <w:r w:rsidRPr="007E1501">
        <w:rPr>
          <w:rFonts w:ascii="Calibri" w:hAnsi="Calibri" w:cs="Calibri"/>
          <w:i/>
          <w:lang w:val="en-AU"/>
        </w:rPr>
        <w:t xml:space="preserve"> Noel W. Duffy,</w:t>
      </w:r>
      <w:r w:rsidRPr="007E1501">
        <w:rPr>
          <w:rFonts w:ascii="Calibri" w:hAnsi="Calibri" w:cs="Calibri"/>
          <w:i/>
          <w:vertAlign w:val="superscript"/>
        </w:rPr>
        <w:t>2</w:t>
      </w:r>
      <w:r w:rsidRPr="007E1501">
        <w:rPr>
          <w:rFonts w:ascii="Calibri" w:hAnsi="Calibri" w:cs="Calibri"/>
          <w:i/>
          <w:lang w:val="en-AU"/>
        </w:rPr>
        <w:t xml:space="preserve"> </w:t>
      </w:r>
      <w:r w:rsidRPr="007E1501">
        <w:rPr>
          <w:rFonts w:ascii="Calibri" w:hAnsi="Calibri" w:cs="Calibri"/>
          <w:i/>
          <w:u w:val="single"/>
          <w:lang w:val="en-AU"/>
        </w:rPr>
        <w:t>Gregory J. Wilson</w:t>
      </w:r>
      <w:r w:rsidRPr="007E1501">
        <w:rPr>
          <w:rFonts w:ascii="Calibri" w:hAnsi="Calibri" w:cs="Calibri"/>
          <w:i/>
          <w:u w:val="single"/>
          <w:vertAlign w:val="superscript"/>
        </w:rPr>
        <w:t>1</w:t>
      </w:r>
      <w:r w:rsidRPr="007E1501">
        <w:rPr>
          <w:rFonts w:ascii="Calibri" w:hAnsi="Calibri" w:cs="Calibri"/>
          <w:i/>
          <w:vertAlign w:val="superscript"/>
        </w:rPr>
        <w:t>*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C165F87" w14:textId="58604434" w:rsidR="007E1501" w:rsidRPr="007E1501" w:rsidRDefault="007E1501" w:rsidP="007E1501">
      <w:pPr>
        <w:rPr>
          <w:rFonts w:asciiTheme="minorHAnsi" w:hAnsiTheme="minorHAnsi" w:cstheme="minorHAnsi"/>
          <w:i/>
          <w:sz w:val="22"/>
          <w:szCs w:val="22"/>
        </w:rPr>
      </w:pPr>
      <w:r w:rsidRPr="007E1501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1 </w:t>
      </w:r>
      <w:r w:rsidRPr="007E1501">
        <w:rPr>
          <w:rFonts w:asciiTheme="minorHAnsi" w:hAnsiTheme="minorHAnsi" w:cstheme="minorHAnsi"/>
          <w:i/>
          <w:sz w:val="22"/>
          <w:szCs w:val="22"/>
        </w:rPr>
        <w:t xml:space="preserve">CSIRO Energy, Solar </w:t>
      </w:r>
      <w:r>
        <w:rPr>
          <w:rFonts w:asciiTheme="minorHAnsi" w:hAnsiTheme="minorHAnsi" w:cstheme="minorHAnsi"/>
          <w:i/>
          <w:sz w:val="22"/>
          <w:szCs w:val="22"/>
        </w:rPr>
        <w:t>Technologies</w:t>
      </w:r>
      <w:r w:rsidRPr="007E1501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7E1501">
        <w:rPr>
          <w:rFonts w:asciiTheme="minorHAnsi" w:hAnsiTheme="minorHAnsi" w:cstheme="minorHAnsi"/>
          <w:i/>
          <w:iCs/>
          <w:sz w:val="22"/>
          <w:szCs w:val="22"/>
        </w:rPr>
        <w:t xml:space="preserve">Newcastle Energy Centre, NSW </w:t>
      </w:r>
      <w:r w:rsidRPr="007E1501">
        <w:rPr>
          <w:rFonts w:asciiTheme="minorHAnsi" w:hAnsiTheme="minorHAnsi" w:cstheme="minorHAnsi"/>
          <w:i/>
          <w:sz w:val="22"/>
          <w:szCs w:val="22"/>
        </w:rPr>
        <w:t>Australia</w:t>
      </w:r>
    </w:p>
    <w:p w14:paraId="115BAEBD" w14:textId="5D534831" w:rsidR="007E1501" w:rsidRPr="007E1501" w:rsidRDefault="007E1501" w:rsidP="007E1501">
      <w:pPr>
        <w:rPr>
          <w:rFonts w:asciiTheme="minorHAnsi" w:hAnsiTheme="minorHAnsi" w:cstheme="minorHAnsi"/>
          <w:i/>
          <w:iCs/>
          <w:sz w:val="22"/>
          <w:szCs w:val="22"/>
          <w:lang w:val="en-AU"/>
        </w:rPr>
      </w:pPr>
      <w:r w:rsidRPr="007E1501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2 </w:t>
      </w:r>
      <w:r w:rsidRPr="007E1501">
        <w:rPr>
          <w:rFonts w:asciiTheme="minorHAnsi" w:hAnsiTheme="minorHAnsi" w:cstheme="minorHAnsi"/>
          <w:i/>
          <w:iCs/>
          <w:sz w:val="22"/>
          <w:szCs w:val="22"/>
        </w:rPr>
        <w:t xml:space="preserve">CSIRO Energy, </w:t>
      </w:r>
      <w:r>
        <w:rPr>
          <w:rFonts w:asciiTheme="minorHAnsi" w:hAnsiTheme="minorHAnsi" w:cstheme="minorHAnsi"/>
          <w:i/>
          <w:iCs/>
          <w:sz w:val="22"/>
          <w:szCs w:val="22"/>
        </w:rPr>
        <w:t>Solar Technologies</w:t>
      </w:r>
      <w:r w:rsidRPr="007E1501">
        <w:rPr>
          <w:rFonts w:asciiTheme="minorHAnsi" w:hAnsiTheme="minorHAnsi" w:cstheme="minorHAnsi"/>
          <w:i/>
          <w:iCs/>
          <w:sz w:val="22"/>
          <w:szCs w:val="22"/>
        </w:rPr>
        <w:t>, Clayton Laboratories</w:t>
      </w:r>
      <w:r w:rsidRPr="007E1501">
        <w:rPr>
          <w:rFonts w:asciiTheme="minorHAnsi" w:hAnsiTheme="minorHAnsi" w:cstheme="minorHAnsi"/>
          <w:i/>
          <w:iCs/>
          <w:sz w:val="22"/>
          <w:szCs w:val="22"/>
          <w:lang w:val="en-AU"/>
        </w:rPr>
        <w:t>, VIC Australia</w:t>
      </w:r>
    </w:p>
    <w:p w14:paraId="49EF8C2D" w14:textId="140983EA" w:rsidR="00711813" w:rsidRPr="006B3866" w:rsidRDefault="00711813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</w:p>
    <w:p w14:paraId="05E17889" w14:textId="4D67CDD4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</w:p>
    <w:p w14:paraId="734471FB" w14:textId="24182B62" w:rsidR="00641190" w:rsidRPr="006615EE" w:rsidRDefault="008D4288" w:rsidP="002001D6">
      <w:pPr>
        <w:spacing w:after="120"/>
        <w:ind w:left="284" w:right="284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b/>
          <w:bCs/>
          <w:sz w:val="22"/>
          <w:szCs w:val="22"/>
          <w:lang w:val="en-AU"/>
        </w:rPr>
        <w:t>Abstract</w:t>
      </w:r>
    </w:p>
    <w:p w14:paraId="73178BEC" w14:textId="14C39D95" w:rsidR="00BD3996" w:rsidRPr="00BD3996" w:rsidRDefault="002001D6" w:rsidP="002001D6">
      <w:pPr>
        <w:spacing w:after="120"/>
        <w:ind w:left="284" w:right="284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B66676" wp14:editId="647CD5C7">
                <wp:simplePos x="0" y="0"/>
                <wp:positionH relativeFrom="column">
                  <wp:posOffset>224790</wp:posOffset>
                </wp:positionH>
                <wp:positionV relativeFrom="paragraph">
                  <wp:posOffset>4041140</wp:posOffset>
                </wp:positionV>
                <wp:extent cx="5677535" cy="63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5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F64BE2" w14:textId="77DA0028" w:rsidR="002001D6" w:rsidRPr="00DD2844" w:rsidRDefault="002001D6" w:rsidP="002001D6">
                            <w:pPr>
                              <w:pStyle w:val="Caption"/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</w:rPr>
                            </w:pPr>
                            <w:r>
                              <w:t>Schematic of CSIRO Solution-less perovskite photovoltaics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B666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.7pt;margin-top:318.2pt;width:447.05pt;height: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" stroked="f">
                <v:textbox style="mso-fit-shape-to-text:t" inset="0,0,0,0">
                  <w:txbxContent>
                    <w:p w14:paraId="14F64BE2" w14:textId="77DA0028" w:rsidR="002001D6" w:rsidRPr="00DD2844" w:rsidRDefault="002001D6" w:rsidP="002001D6">
                      <w:pPr>
                        <w:pStyle w:val="Caption"/>
                        <w:rPr>
                          <w:rFonts w:ascii="Calibri" w:hAnsi="Calibri" w:cs="Calibri"/>
                          <w:b/>
                          <w:bCs/>
                          <w:noProof/>
                        </w:rPr>
                      </w:pPr>
                      <w:r>
                        <w:t>Schematic of CSIRO Solution-less perovskite photovoltaics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A3703F" w:rsidRPr="00447188">
        <w:rPr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51F97F5D" wp14:editId="2FB8C0B4">
            <wp:simplePos x="0" y="0"/>
            <wp:positionH relativeFrom="column">
              <wp:posOffset>232410</wp:posOffset>
            </wp:positionH>
            <wp:positionV relativeFrom="paragraph">
              <wp:posOffset>859790</wp:posOffset>
            </wp:positionV>
            <wp:extent cx="5441419" cy="3060000"/>
            <wp:effectExtent l="0" t="0" r="6985" b="7620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419" cy="30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D3996" w:rsidRPr="00BD3996">
        <w:rPr>
          <w:rFonts w:ascii="Calibri" w:hAnsi="Calibri" w:cs="Calibri"/>
          <w:sz w:val="22"/>
          <w:szCs w:val="22"/>
          <w:lang w:val="en-AU"/>
        </w:rPr>
        <w:t xml:space="preserve">Perovskite materials continue to generate significant interest from academia and industry as a potential component in next-generation, high-efficiency, low-cost, photovoltaic (PV) devices with record efficiency reports for champion devices now more than 22%. However, due to their complex dynamic </w:t>
      </w:r>
      <w:r>
        <w:rPr>
          <w:rFonts w:ascii="Calibri" w:hAnsi="Calibri" w:cs="Calibri"/>
          <w:sz w:val="22"/>
          <w:szCs w:val="22"/>
          <w:lang w:val="en-AU"/>
        </w:rPr>
        <w:t>chemistry of formation</w:t>
      </w:r>
      <w:r w:rsidR="00BD3996" w:rsidRPr="00BD3996">
        <w:rPr>
          <w:rFonts w:ascii="Calibri" w:hAnsi="Calibri" w:cs="Calibri"/>
          <w:sz w:val="22"/>
          <w:szCs w:val="22"/>
          <w:lang w:val="en-AU"/>
        </w:rPr>
        <w:t xml:space="preserve">, the </w:t>
      </w:r>
      <w:r w:rsidR="00BD3996" w:rsidRPr="00BD3996">
        <w:rPr>
          <w:rFonts w:ascii="Calibri" w:hAnsi="Calibri" w:cs="Calibri"/>
          <w:i/>
          <w:iCs/>
          <w:sz w:val="22"/>
          <w:szCs w:val="22"/>
          <w:lang w:val="en-AU"/>
        </w:rPr>
        <w:t xml:space="preserve">process </w:t>
      </w:r>
      <w:r w:rsidR="00BD3996" w:rsidRPr="00BD3996">
        <w:rPr>
          <w:rFonts w:ascii="Calibri" w:hAnsi="Calibri" w:cs="Calibri"/>
          <w:sz w:val="22"/>
          <w:szCs w:val="22"/>
          <w:lang w:val="en-AU"/>
        </w:rPr>
        <w:t xml:space="preserve">of </w:t>
      </w:r>
      <w:r>
        <w:rPr>
          <w:rFonts w:ascii="Calibri" w:hAnsi="Calibri" w:cs="Calibri"/>
          <w:sz w:val="22"/>
          <w:szCs w:val="22"/>
          <w:lang w:val="en-AU"/>
        </w:rPr>
        <w:t>forming a uniform, consistent and stable perovskite coating is a challenge – especially for commercial applications.</w:t>
      </w:r>
    </w:p>
    <w:p w14:paraId="0A6FEE21" w14:textId="7C09886C" w:rsidR="00BD3996" w:rsidRPr="00BD3996" w:rsidRDefault="00BD3996" w:rsidP="002001D6">
      <w:pPr>
        <w:spacing w:after="120"/>
        <w:ind w:left="284" w:right="284"/>
        <w:jc w:val="both"/>
        <w:rPr>
          <w:rFonts w:ascii="Calibri" w:hAnsi="Calibri" w:cs="Calibri"/>
          <w:sz w:val="22"/>
          <w:szCs w:val="22"/>
          <w:lang w:val="en-AU"/>
        </w:rPr>
      </w:pPr>
      <w:r w:rsidRPr="00BD3996">
        <w:rPr>
          <w:rFonts w:ascii="Calibri" w:hAnsi="Calibri" w:cs="Calibri"/>
          <w:sz w:val="22"/>
          <w:szCs w:val="22"/>
          <w:lang w:val="de-DE"/>
        </w:rPr>
        <w:t>The field of perovskite solar cells (PSCs) is rapidly maturing and developments are progressing at an impressive rate. Current state of the art lead-salt derived PSCs has seen efficiencies exceeding 2</w:t>
      </w:r>
      <w:r w:rsidR="00A3703F">
        <w:rPr>
          <w:rFonts w:ascii="Calibri" w:hAnsi="Calibri" w:cs="Calibri"/>
          <w:sz w:val="22"/>
          <w:szCs w:val="22"/>
          <w:lang w:val="de-DE"/>
        </w:rPr>
        <w:t>4.2</w:t>
      </w:r>
      <w:r w:rsidRPr="00BD3996">
        <w:rPr>
          <w:rFonts w:ascii="Calibri" w:hAnsi="Calibri" w:cs="Calibri"/>
          <w:sz w:val="22"/>
          <w:szCs w:val="22"/>
          <w:lang w:val="de-DE"/>
        </w:rPr>
        <w:t>%  for 0.1 cm</w:t>
      </w:r>
      <w:r w:rsidRPr="00BD3996">
        <w:rPr>
          <w:rFonts w:ascii="Calibri" w:hAnsi="Calibri" w:cs="Calibri"/>
          <w:sz w:val="22"/>
          <w:szCs w:val="22"/>
          <w:vertAlign w:val="superscript"/>
          <w:lang w:val="de-DE"/>
        </w:rPr>
        <w:t>2</w:t>
      </w:r>
      <w:r w:rsidRPr="00BD3996">
        <w:rPr>
          <w:rFonts w:ascii="Calibri" w:hAnsi="Calibri" w:cs="Calibri"/>
          <w:sz w:val="22"/>
          <w:szCs w:val="22"/>
          <w:lang w:val="de-DE"/>
        </w:rPr>
        <w:t xml:space="preserve"> and </w:t>
      </w:r>
      <w:r w:rsidR="00A3703F">
        <w:rPr>
          <w:rFonts w:ascii="Calibri" w:hAnsi="Calibri" w:cs="Calibri"/>
          <w:sz w:val="22"/>
          <w:szCs w:val="22"/>
          <w:lang w:val="de-DE"/>
        </w:rPr>
        <w:t>20.9</w:t>
      </w:r>
      <w:r w:rsidRPr="00BD3996">
        <w:rPr>
          <w:rFonts w:ascii="Calibri" w:hAnsi="Calibri" w:cs="Calibri"/>
          <w:sz w:val="22"/>
          <w:szCs w:val="22"/>
          <w:lang w:val="de-DE"/>
        </w:rPr>
        <w:t>% for &gt;1 cm</w:t>
      </w:r>
      <w:r w:rsidRPr="00BD3996">
        <w:rPr>
          <w:rFonts w:ascii="Calibri" w:hAnsi="Calibri" w:cs="Calibri"/>
          <w:sz w:val="22"/>
          <w:szCs w:val="22"/>
          <w:vertAlign w:val="superscript"/>
          <w:lang w:val="de-DE"/>
        </w:rPr>
        <w:t>2</w:t>
      </w:r>
      <w:r w:rsidRPr="00BD3996">
        <w:rPr>
          <w:rFonts w:ascii="Calibri" w:hAnsi="Calibri" w:cs="Calibri"/>
          <w:sz w:val="22"/>
          <w:szCs w:val="22"/>
          <w:lang w:val="de-DE"/>
        </w:rPr>
        <w:t xml:space="preserve"> research grade devices.</w:t>
      </w:r>
      <w:r w:rsidR="00A3703F">
        <w:rPr>
          <w:rFonts w:ascii="Calibri" w:hAnsi="Calibri" w:cs="Calibri"/>
          <w:sz w:val="22"/>
          <w:szCs w:val="22"/>
          <w:lang w:val="de-DE"/>
        </w:rPr>
        <w:t xml:space="preserve"> [</w:t>
      </w:r>
      <w:r w:rsidR="002001D6">
        <w:rPr>
          <w:rFonts w:ascii="Calibri" w:hAnsi="Calibri" w:cs="Calibri"/>
          <w:sz w:val="22"/>
          <w:szCs w:val="22"/>
          <w:lang w:val="de-DE"/>
        </w:rPr>
        <w:t>1</w:t>
      </w:r>
      <w:r w:rsidR="00A3703F">
        <w:rPr>
          <w:rFonts w:ascii="Calibri" w:hAnsi="Calibri" w:cs="Calibri"/>
          <w:sz w:val="22"/>
          <w:szCs w:val="22"/>
          <w:lang w:val="de-DE"/>
        </w:rPr>
        <w:t>]</w:t>
      </w:r>
      <w:r w:rsidR="002001D6"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BD3996">
        <w:rPr>
          <w:rFonts w:ascii="Calibri" w:hAnsi="Calibri" w:cs="Calibri"/>
          <w:sz w:val="22"/>
          <w:szCs w:val="22"/>
          <w:lang w:val="de-DE"/>
        </w:rPr>
        <w:t>It is well known that for enhanced performance of PSCs, control of the perovskite crystal formation via deposition and annealing conditions has been the fundamental to improving device performance.</w:t>
      </w:r>
    </w:p>
    <w:p w14:paraId="2FC97C6B" w14:textId="270644B5" w:rsidR="00AE6371" w:rsidRDefault="002001D6" w:rsidP="002001D6">
      <w:pPr>
        <w:spacing w:after="120"/>
        <w:ind w:left="284" w:righ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de-DE"/>
        </w:rPr>
        <w:t xml:space="preserve">In this talk we present a method for solution-less deposition to form perovksite semiconductors by a relevant industrial method – atmospheric chemical vapour deposition – </w:t>
      </w:r>
      <w:r w:rsidRPr="00AE6371">
        <w:rPr>
          <w:rFonts w:ascii="Calibri" w:hAnsi="Calibri" w:cs="Calibri"/>
          <w:sz w:val="22"/>
          <w:szCs w:val="22"/>
          <w:lang w:val="de-DE"/>
        </w:rPr>
        <w:t xml:space="preserve">thus reducing a barrier for commercialisation: lateral scale-up. </w:t>
      </w:r>
      <w:r w:rsidRPr="00AE6371">
        <w:rPr>
          <w:rFonts w:ascii="Calibri" w:hAnsi="Calibri" w:cs="Calibri"/>
          <w:sz w:val="22"/>
          <w:szCs w:val="22"/>
          <w:lang w:val="en-AU"/>
        </w:rPr>
        <w:t xml:space="preserve">Here we successfully demonstrate </w:t>
      </w:r>
      <w:r w:rsidRPr="00AE6371">
        <w:rPr>
          <w:rFonts w:ascii="Calibri" w:hAnsi="Calibri" w:cs="Calibri"/>
          <w:sz w:val="22"/>
          <w:szCs w:val="22"/>
          <w:lang w:val="de-DE"/>
        </w:rPr>
        <w:t>perovskite formation utilising a metallic seed layer, which can be readily deposited at large scale</w:t>
      </w:r>
      <w:r>
        <w:rPr>
          <w:rFonts w:ascii="Calibri" w:hAnsi="Calibri" w:cs="Calibri"/>
          <w:sz w:val="22"/>
          <w:szCs w:val="22"/>
          <w:lang w:val="de-DE"/>
        </w:rPr>
        <w:t xml:space="preserve">. </w:t>
      </w:r>
      <w:r w:rsidR="00AE6371" w:rsidRPr="00AE6371">
        <w:rPr>
          <w:rFonts w:ascii="Calibri" w:hAnsi="Calibri" w:cs="Calibri"/>
          <w:sz w:val="22"/>
          <w:szCs w:val="22"/>
          <w:lang w:val="de-DE"/>
        </w:rPr>
        <w:t xml:space="preserve">The photoactive perovskite semiconductor is obtained through tuning the chemistry of intermediate structures to provide facile and uniform crystalline materials. We report a novel approach for rapid and uniform coverage and an easily tuned final morphology </w:t>
      </w:r>
      <w:r>
        <w:rPr>
          <w:rFonts w:ascii="Calibri" w:hAnsi="Calibri" w:cs="Calibri"/>
          <w:sz w:val="22"/>
          <w:szCs w:val="22"/>
          <w:lang w:val="de-DE"/>
        </w:rPr>
        <w:t>throgh a novel</w:t>
      </w:r>
      <w:r w:rsidR="00AE6371" w:rsidRPr="00AE6371">
        <w:rPr>
          <w:rFonts w:ascii="Calibri" w:hAnsi="Calibri" w:cs="Calibri"/>
          <w:sz w:val="22"/>
          <w:szCs w:val="22"/>
          <w:lang w:val="de-DE"/>
        </w:rPr>
        <w:t xml:space="preserve"> nucleation and crystallisation process to achieve uniform coverage </w:t>
      </w:r>
      <w:r>
        <w:rPr>
          <w:rFonts w:ascii="Calibri" w:hAnsi="Calibri" w:cs="Calibri"/>
          <w:sz w:val="22"/>
          <w:szCs w:val="22"/>
          <w:lang w:val="de-DE"/>
        </w:rPr>
        <w:t>with</w:t>
      </w:r>
      <w:r w:rsidR="00AE6371" w:rsidRPr="00AE6371">
        <w:rPr>
          <w:rFonts w:ascii="Calibri" w:hAnsi="Calibri" w:cs="Calibri"/>
          <w:sz w:val="22"/>
          <w:szCs w:val="22"/>
          <w:lang w:val="de-DE"/>
        </w:rPr>
        <w:t xml:space="preserve"> an optimal perovskite crystal morphology. This talk will outline our process and progress to date on research grade, and larger, devices.</w:t>
      </w: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1CF201DA" w14:textId="3670E02A" w:rsidR="00D32B43" w:rsidRPr="006B3866" w:rsidRDefault="00D32B43" w:rsidP="009A4CFF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D32B43">
        <w:rPr>
          <w:rFonts w:asciiTheme="minorHAnsi" w:hAnsiTheme="minorHAnsi" w:cstheme="minorHAnsi"/>
          <w:sz w:val="22"/>
          <w:szCs w:val="22"/>
          <w:lang w:eastAsia="en-AU"/>
        </w:rPr>
        <w:t>Green, MA, Dunlop, ED, Levi, DH, </w:t>
      </w:r>
      <w:proofErr w:type="spellStart"/>
      <w:r w:rsidRPr="00D32B43">
        <w:rPr>
          <w:rFonts w:asciiTheme="minorHAnsi" w:hAnsiTheme="minorHAnsi" w:cstheme="minorHAnsi"/>
          <w:sz w:val="22"/>
          <w:szCs w:val="22"/>
          <w:lang w:eastAsia="en-AU"/>
        </w:rPr>
        <w:t>Hohl‐Ebinger</w:t>
      </w:r>
      <w:proofErr w:type="spellEnd"/>
      <w:r w:rsidRPr="00D32B43">
        <w:rPr>
          <w:rFonts w:asciiTheme="minorHAnsi" w:hAnsiTheme="minorHAnsi" w:cstheme="minorHAnsi"/>
          <w:sz w:val="22"/>
          <w:szCs w:val="22"/>
          <w:lang w:eastAsia="en-AU"/>
        </w:rPr>
        <w:t>, J, </w:t>
      </w:r>
      <w:proofErr w:type="spellStart"/>
      <w:r w:rsidRPr="00D32B43">
        <w:rPr>
          <w:rFonts w:asciiTheme="minorHAnsi" w:hAnsiTheme="minorHAnsi" w:cstheme="minorHAnsi"/>
          <w:sz w:val="22"/>
          <w:szCs w:val="22"/>
          <w:lang w:eastAsia="en-AU"/>
        </w:rPr>
        <w:t>Yoshita</w:t>
      </w:r>
      <w:proofErr w:type="spellEnd"/>
      <w:r w:rsidRPr="00D32B43">
        <w:rPr>
          <w:rFonts w:asciiTheme="minorHAnsi" w:hAnsiTheme="minorHAnsi" w:cstheme="minorHAnsi"/>
          <w:sz w:val="22"/>
          <w:szCs w:val="22"/>
          <w:lang w:eastAsia="en-AU"/>
        </w:rPr>
        <w:t>, M, Ho‐Baillie, AWY. Solar cell efficiency tables (version 54). </w:t>
      </w:r>
      <w:r w:rsidRPr="00D32B43">
        <w:rPr>
          <w:rFonts w:asciiTheme="minorHAnsi" w:hAnsiTheme="minorHAnsi" w:cstheme="minorHAnsi"/>
          <w:i/>
          <w:iCs/>
          <w:sz w:val="22"/>
          <w:szCs w:val="22"/>
          <w:lang w:eastAsia="en-AU"/>
        </w:rPr>
        <w:t xml:space="preserve">Prog </w:t>
      </w:r>
      <w:proofErr w:type="spellStart"/>
      <w:r w:rsidRPr="00D32B43">
        <w:rPr>
          <w:rFonts w:asciiTheme="minorHAnsi" w:hAnsiTheme="minorHAnsi" w:cstheme="minorHAnsi"/>
          <w:i/>
          <w:iCs/>
          <w:sz w:val="22"/>
          <w:szCs w:val="22"/>
          <w:lang w:eastAsia="en-AU"/>
        </w:rPr>
        <w:t>Photovolt</w:t>
      </w:r>
      <w:proofErr w:type="spellEnd"/>
      <w:r w:rsidRPr="00D32B43">
        <w:rPr>
          <w:rFonts w:asciiTheme="minorHAnsi" w:hAnsiTheme="minorHAnsi" w:cstheme="minorHAnsi"/>
          <w:i/>
          <w:iCs/>
          <w:sz w:val="22"/>
          <w:szCs w:val="22"/>
          <w:lang w:eastAsia="en-AU"/>
        </w:rPr>
        <w:t xml:space="preserve"> Res Appl</w:t>
      </w:r>
      <w:r w:rsidRPr="00D32B43">
        <w:rPr>
          <w:rFonts w:asciiTheme="minorHAnsi" w:hAnsiTheme="minorHAnsi" w:cstheme="minorHAnsi"/>
          <w:sz w:val="22"/>
          <w:szCs w:val="22"/>
          <w:lang w:eastAsia="en-AU"/>
        </w:rPr>
        <w:t>. 2019; 27: 565– 575. </w:t>
      </w:r>
      <w:hyperlink r:id="rId6" w:history="1">
        <w:r w:rsidRPr="00D32B43">
          <w:rPr>
            <w:rStyle w:val="Hyperlink"/>
            <w:rFonts w:asciiTheme="minorHAnsi" w:hAnsiTheme="minorHAnsi" w:cstheme="minorHAnsi"/>
            <w:sz w:val="22"/>
            <w:szCs w:val="22"/>
            <w:lang w:eastAsia="en-AU"/>
          </w:rPr>
          <w:t>https://doi.org/10.1002/pip.3171</w:t>
        </w:r>
      </w:hyperlink>
    </w:p>
    <w:sectPr w:rsidR="00D32B43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A6D19"/>
    <w:rsid w:val="001766B7"/>
    <w:rsid w:val="001A21AD"/>
    <w:rsid w:val="002001D6"/>
    <w:rsid w:val="002078AD"/>
    <w:rsid w:val="002226BB"/>
    <w:rsid w:val="00225236"/>
    <w:rsid w:val="002272B0"/>
    <w:rsid w:val="00300B92"/>
    <w:rsid w:val="0030585E"/>
    <w:rsid w:val="00387491"/>
    <w:rsid w:val="0044600F"/>
    <w:rsid w:val="00447188"/>
    <w:rsid w:val="00483B05"/>
    <w:rsid w:val="004E28B9"/>
    <w:rsid w:val="004E5450"/>
    <w:rsid w:val="005117FC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615EE"/>
    <w:rsid w:val="006B3866"/>
    <w:rsid w:val="00711813"/>
    <w:rsid w:val="00724E3C"/>
    <w:rsid w:val="00743C46"/>
    <w:rsid w:val="007E1501"/>
    <w:rsid w:val="008909C9"/>
    <w:rsid w:val="008D4288"/>
    <w:rsid w:val="00947B77"/>
    <w:rsid w:val="00997C34"/>
    <w:rsid w:val="009A4CFF"/>
    <w:rsid w:val="009B2641"/>
    <w:rsid w:val="009E2228"/>
    <w:rsid w:val="009F06D6"/>
    <w:rsid w:val="00A266B4"/>
    <w:rsid w:val="00A3703F"/>
    <w:rsid w:val="00AE6371"/>
    <w:rsid w:val="00BC5FCC"/>
    <w:rsid w:val="00BD3996"/>
    <w:rsid w:val="00C60A71"/>
    <w:rsid w:val="00CC165A"/>
    <w:rsid w:val="00D32B43"/>
    <w:rsid w:val="00D55F3B"/>
    <w:rsid w:val="00DA2731"/>
    <w:rsid w:val="00DB4497"/>
    <w:rsid w:val="00DC0ABB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39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3996"/>
    <w:rPr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2001D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2/pip.3171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329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2399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Wilson, Gregory (Energy, Newcastle)</cp:lastModifiedBy>
  <cp:revision>5</cp:revision>
  <cp:lastPrinted>2013-06-13T05:15:00Z</cp:lastPrinted>
  <dcterms:created xsi:type="dcterms:W3CDTF">2019-09-09T06:21:00Z</dcterms:created>
  <dcterms:modified xsi:type="dcterms:W3CDTF">2019-09-25T06:02:00Z</dcterms:modified>
</cp:coreProperties>
</file>