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3C991D" w14:textId="0E6BD3E6" w:rsidR="001956AD" w:rsidRPr="00FE4FCE" w:rsidRDefault="00FE4FCE" w:rsidP="00CF0BB1">
      <w:pPr>
        <w:jc w:val="center"/>
        <w:rPr>
          <w:rFonts w:ascii="Times New Roman" w:hAnsi="Times New Roman" w:cs="Times New Roman"/>
          <w:b/>
          <w:sz w:val="28"/>
          <w:szCs w:val="28"/>
          <w:lang w:val="en-AU"/>
        </w:rPr>
      </w:pPr>
      <w:r>
        <w:rPr>
          <w:rFonts w:ascii="Times New Roman" w:hAnsi="Times New Roman" w:cs="Times New Roman"/>
          <w:b/>
          <w:sz w:val="28"/>
          <w:szCs w:val="28"/>
          <w:lang w:val="en-AU"/>
        </w:rPr>
        <w:t xml:space="preserve">Proliferative </w:t>
      </w:r>
      <w:r w:rsidR="00CF0BB1">
        <w:rPr>
          <w:rFonts w:ascii="Times New Roman" w:hAnsi="Times New Roman" w:cs="Times New Roman"/>
          <w:b/>
          <w:sz w:val="28"/>
          <w:szCs w:val="28"/>
          <w:lang w:val="en-AU"/>
        </w:rPr>
        <w:t>a</w:t>
      </w:r>
      <w:r>
        <w:rPr>
          <w:rFonts w:ascii="Times New Roman" w:hAnsi="Times New Roman" w:cs="Times New Roman"/>
          <w:b/>
          <w:sz w:val="28"/>
          <w:szCs w:val="28"/>
          <w:lang w:val="en-AU"/>
        </w:rPr>
        <w:t xml:space="preserve">rrest in </w:t>
      </w:r>
      <w:r>
        <w:rPr>
          <w:rFonts w:ascii="Times New Roman" w:hAnsi="Times New Roman" w:cs="Times New Roman"/>
          <w:b/>
          <w:i/>
          <w:iCs/>
          <w:sz w:val="28"/>
          <w:szCs w:val="28"/>
          <w:lang w:val="en-AU"/>
        </w:rPr>
        <w:t>Pisum sativum</w:t>
      </w:r>
    </w:p>
    <w:p w14:paraId="51C448CB" w14:textId="4944749E" w:rsidR="009126C6" w:rsidRPr="001F7443" w:rsidRDefault="009126C6" w:rsidP="00CF0BB1">
      <w:pPr>
        <w:pStyle w:val="ICLGG201701Title"/>
        <w:jc w:val="both"/>
        <w:rPr>
          <w:rFonts w:ascii="Times New Roman" w:hAnsi="Times New Roman" w:cs="Times New Roman"/>
          <w:sz w:val="24"/>
          <w:szCs w:val="24"/>
          <w:lang w:val="en-AU"/>
        </w:rPr>
      </w:pPr>
    </w:p>
    <w:p w14:paraId="2D086D98" w14:textId="3B3C28E0" w:rsidR="00154ACA" w:rsidRPr="001F7443" w:rsidRDefault="00FE4FCE" w:rsidP="00CF0BB1">
      <w:pPr>
        <w:pStyle w:val="ICLGG201702Authors"/>
        <w:jc w:val="both"/>
        <w:rPr>
          <w:rFonts w:ascii="Times New Roman" w:hAnsi="Times New Roman" w:cs="Times New Roman"/>
          <w:sz w:val="24"/>
          <w:szCs w:val="24"/>
          <w:vertAlign w:val="superscript"/>
          <w:lang w:val="en-AU"/>
        </w:rPr>
      </w:pPr>
      <w:r w:rsidRPr="001F7443">
        <w:rPr>
          <w:rFonts w:ascii="Times New Roman" w:hAnsi="Times New Roman" w:cs="Times New Roman"/>
          <w:sz w:val="24"/>
          <w:szCs w:val="24"/>
          <w:u w:val="single"/>
          <w:lang w:val="en-AU"/>
        </w:rPr>
        <w:t>Burillo</w:t>
      </w:r>
      <w:r w:rsidR="005C7608" w:rsidRPr="001F7443">
        <w:rPr>
          <w:rFonts w:ascii="Times New Roman" w:hAnsi="Times New Roman" w:cs="Times New Roman"/>
          <w:sz w:val="24"/>
          <w:szCs w:val="24"/>
          <w:u w:val="single"/>
          <w:lang w:val="en-AU"/>
        </w:rPr>
        <w:t xml:space="preserve"> </w:t>
      </w:r>
      <w:r w:rsidRPr="001F7443">
        <w:rPr>
          <w:rFonts w:ascii="Times New Roman" w:hAnsi="Times New Roman" w:cs="Times New Roman"/>
          <w:sz w:val="24"/>
          <w:szCs w:val="24"/>
          <w:u w:val="single"/>
          <w:lang w:val="en-AU"/>
        </w:rPr>
        <w:t>E</w:t>
      </w:r>
      <w:r w:rsidR="009126C6" w:rsidRPr="001F7443">
        <w:rPr>
          <w:rFonts w:ascii="Times New Roman" w:hAnsi="Times New Roman" w:cs="Times New Roman"/>
          <w:sz w:val="24"/>
          <w:szCs w:val="24"/>
          <w:vertAlign w:val="superscript"/>
          <w:lang w:val="en-AU"/>
        </w:rPr>
        <w:t>1</w:t>
      </w:r>
      <w:r w:rsidRPr="001F7443">
        <w:rPr>
          <w:rFonts w:ascii="Times New Roman" w:hAnsi="Times New Roman" w:cs="Times New Roman"/>
          <w:sz w:val="24"/>
          <w:szCs w:val="24"/>
          <w:vertAlign w:val="superscript"/>
          <w:lang w:val="en-AU"/>
        </w:rPr>
        <w:t>,2</w:t>
      </w:r>
      <w:r w:rsidR="001F7443" w:rsidRPr="001F7443">
        <w:rPr>
          <w:rFonts w:ascii="Times New Roman" w:hAnsi="Times New Roman" w:cs="Times New Roman"/>
          <w:sz w:val="24"/>
          <w:szCs w:val="24"/>
          <w:vertAlign w:val="superscript"/>
          <w:lang w:val="en-AU"/>
        </w:rPr>
        <w:t>,3</w:t>
      </w:r>
      <w:r w:rsidR="009126C6" w:rsidRPr="001F7443">
        <w:rPr>
          <w:rFonts w:ascii="Times New Roman" w:hAnsi="Times New Roman" w:cs="Times New Roman"/>
          <w:sz w:val="24"/>
          <w:szCs w:val="24"/>
          <w:lang w:val="en-AU"/>
        </w:rPr>
        <w:t xml:space="preserve">, </w:t>
      </w:r>
      <w:r w:rsidR="00BE3E53" w:rsidRPr="001F7443">
        <w:rPr>
          <w:rFonts w:ascii="Times New Roman" w:hAnsi="Times New Roman" w:cs="Times New Roman"/>
          <w:sz w:val="24"/>
          <w:szCs w:val="24"/>
          <w:lang w:val="en-AU"/>
        </w:rPr>
        <w:t>Ortega R</w:t>
      </w:r>
      <w:r w:rsidR="00BE3E53" w:rsidRPr="001F7443">
        <w:rPr>
          <w:rFonts w:ascii="Times New Roman" w:hAnsi="Times New Roman" w:cs="Times New Roman"/>
          <w:sz w:val="24"/>
          <w:szCs w:val="24"/>
          <w:vertAlign w:val="superscript"/>
          <w:lang w:val="en-AU"/>
        </w:rPr>
        <w:t>1,2</w:t>
      </w:r>
      <w:r w:rsidRPr="001F7443">
        <w:rPr>
          <w:rFonts w:ascii="Times New Roman" w:hAnsi="Times New Roman" w:cs="Times New Roman"/>
          <w:sz w:val="24"/>
          <w:szCs w:val="24"/>
          <w:lang w:val="en-AU"/>
        </w:rPr>
        <w:t xml:space="preserve">, </w:t>
      </w:r>
      <w:r w:rsidR="00BE3E53" w:rsidRPr="001F7443">
        <w:rPr>
          <w:rFonts w:ascii="Times New Roman" w:hAnsi="Times New Roman" w:cs="Times New Roman"/>
          <w:sz w:val="24"/>
          <w:szCs w:val="24"/>
          <w:lang w:val="en-AU"/>
        </w:rPr>
        <w:t>Vander Schoor JK</w:t>
      </w:r>
      <w:r w:rsidR="00BE3E53" w:rsidRPr="001F7443">
        <w:rPr>
          <w:rFonts w:ascii="Times New Roman" w:hAnsi="Times New Roman" w:cs="Times New Roman"/>
          <w:sz w:val="24"/>
          <w:szCs w:val="24"/>
          <w:vertAlign w:val="superscript"/>
          <w:lang w:val="en-AU"/>
        </w:rPr>
        <w:t>1,2</w:t>
      </w:r>
      <w:r w:rsidRPr="001F7443">
        <w:rPr>
          <w:rFonts w:ascii="Times New Roman" w:hAnsi="Times New Roman" w:cs="Times New Roman"/>
          <w:sz w:val="24"/>
          <w:szCs w:val="24"/>
          <w:lang w:val="en-AU"/>
        </w:rPr>
        <w:t xml:space="preserve">, </w:t>
      </w:r>
      <w:r w:rsidR="00154ACA" w:rsidRPr="001F7443">
        <w:rPr>
          <w:rFonts w:ascii="Times New Roman" w:hAnsi="Times New Roman" w:cs="Times New Roman"/>
          <w:sz w:val="24"/>
          <w:szCs w:val="24"/>
          <w:lang w:val="en-AU"/>
        </w:rPr>
        <w:t>Martínez-Fernández I</w:t>
      </w:r>
      <w:r w:rsidR="00154ACA" w:rsidRPr="001F7443">
        <w:rPr>
          <w:rFonts w:ascii="Times New Roman" w:hAnsi="Times New Roman" w:cs="Times New Roman"/>
          <w:sz w:val="24"/>
          <w:szCs w:val="24"/>
          <w:vertAlign w:val="superscript"/>
          <w:lang w:val="en-AU"/>
        </w:rPr>
        <w:t>3</w:t>
      </w:r>
      <w:r w:rsidR="00154ACA" w:rsidRPr="001F7443">
        <w:rPr>
          <w:rFonts w:ascii="Times New Roman" w:hAnsi="Times New Roman" w:cs="Times New Roman"/>
          <w:sz w:val="24"/>
          <w:szCs w:val="24"/>
          <w:lang w:val="en-AU"/>
        </w:rPr>
        <w:t xml:space="preserve">, </w:t>
      </w:r>
      <w:r w:rsidR="00BE3E53" w:rsidRPr="001F7443">
        <w:rPr>
          <w:rFonts w:ascii="Times New Roman" w:hAnsi="Times New Roman" w:cs="Times New Roman"/>
          <w:sz w:val="24"/>
          <w:szCs w:val="24"/>
          <w:lang w:val="en-AU"/>
        </w:rPr>
        <w:t>Weller JL</w:t>
      </w:r>
      <w:r w:rsidR="00BE3E53" w:rsidRPr="001F7443">
        <w:rPr>
          <w:rFonts w:ascii="Times New Roman" w:hAnsi="Times New Roman" w:cs="Times New Roman"/>
          <w:sz w:val="24"/>
          <w:szCs w:val="24"/>
          <w:vertAlign w:val="superscript"/>
          <w:lang w:val="en-AU"/>
        </w:rPr>
        <w:t>1,2</w:t>
      </w:r>
      <w:r w:rsidRPr="001F7443">
        <w:rPr>
          <w:rFonts w:ascii="Times New Roman" w:hAnsi="Times New Roman" w:cs="Times New Roman"/>
          <w:sz w:val="24"/>
          <w:szCs w:val="24"/>
          <w:lang w:val="en-AU"/>
        </w:rPr>
        <w:t xml:space="preserve">, </w:t>
      </w:r>
      <w:r w:rsidR="00BE3E53" w:rsidRPr="001F7443">
        <w:rPr>
          <w:rFonts w:ascii="Times New Roman" w:hAnsi="Times New Roman" w:cs="Times New Roman"/>
          <w:sz w:val="24"/>
          <w:szCs w:val="24"/>
          <w:lang w:val="en-AU"/>
        </w:rPr>
        <w:t>Bombarely A</w:t>
      </w:r>
      <w:r w:rsidR="00BE3E53" w:rsidRPr="001F7443">
        <w:rPr>
          <w:rFonts w:ascii="Times New Roman" w:hAnsi="Times New Roman" w:cs="Times New Roman"/>
          <w:sz w:val="24"/>
          <w:szCs w:val="24"/>
          <w:vertAlign w:val="superscript"/>
          <w:lang w:val="en-AU"/>
        </w:rPr>
        <w:t>3</w:t>
      </w:r>
      <w:r w:rsidRPr="001F7443">
        <w:rPr>
          <w:rFonts w:ascii="Times New Roman" w:hAnsi="Times New Roman" w:cs="Times New Roman"/>
          <w:sz w:val="24"/>
          <w:szCs w:val="24"/>
          <w:lang w:val="en-AU"/>
        </w:rPr>
        <w:t xml:space="preserve">, </w:t>
      </w:r>
      <w:r w:rsidR="00BE3E53" w:rsidRPr="001F7443">
        <w:rPr>
          <w:rFonts w:ascii="Times New Roman" w:hAnsi="Times New Roman" w:cs="Times New Roman"/>
          <w:sz w:val="24"/>
          <w:szCs w:val="24"/>
          <w:lang w:val="en-AU"/>
        </w:rPr>
        <w:t>Balanzà V</w:t>
      </w:r>
      <w:r w:rsidR="006F0989" w:rsidRPr="001F7443">
        <w:rPr>
          <w:rFonts w:ascii="Times New Roman" w:hAnsi="Times New Roman" w:cs="Times New Roman"/>
          <w:sz w:val="24"/>
          <w:szCs w:val="24"/>
          <w:vertAlign w:val="superscript"/>
          <w:lang w:val="en-AU"/>
        </w:rPr>
        <w:t>3</w:t>
      </w:r>
      <w:r w:rsidRPr="001F7443">
        <w:rPr>
          <w:rFonts w:ascii="Times New Roman" w:hAnsi="Times New Roman" w:cs="Times New Roman"/>
          <w:sz w:val="24"/>
          <w:szCs w:val="24"/>
          <w:lang w:val="en-AU"/>
        </w:rPr>
        <w:t xml:space="preserve">, </w:t>
      </w:r>
      <w:r w:rsidR="006F0989" w:rsidRPr="001F7443">
        <w:rPr>
          <w:rFonts w:ascii="Times New Roman" w:hAnsi="Times New Roman" w:cs="Times New Roman"/>
          <w:sz w:val="24"/>
          <w:szCs w:val="24"/>
          <w:lang w:val="en-AU"/>
        </w:rPr>
        <w:t>Ferrándiz</w:t>
      </w:r>
      <w:r w:rsidRPr="001F7443">
        <w:rPr>
          <w:rFonts w:ascii="Times New Roman" w:hAnsi="Times New Roman" w:cs="Times New Roman"/>
          <w:sz w:val="24"/>
          <w:szCs w:val="24"/>
          <w:lang w:val="en-AU"/>
        </w:rPr>
        <w:t xml:space="preserve"> C</w:t>
      </w:r>
      <w:r w:rsidR="006F0989" w:rsidRPr="001F7443">
        <w:rPr>
          <w:rFonts w:ascii="Times New Roman" w:hAnsi="Times New Roman" w:cs="Times New Roman"/>
          <w:sz w:val="24"/>
          <w:szCs w:val="24"/>
          <w:vertAlign w:val="superscript"/>
          <w:lang w:val="en-AU"/>
        </w:rPr>
        <w:t>3</w:t>
      </w:r>
    </w:p>
    <w:p w14:paraId="3A07A90B" w14:textId="23909614" w:rsidR="009126C6" w:rsidRPr="001F7443" w:rsidRDefault="009126C6" w:rsidP="00CF0BB1">
      <w:pPr>
        <w:pStyle w:val="ICLGG201702Authors"/>
        <w:jc w:val="both"/>
        <w:rPr>
          <w:rFonts w:ascii="Times New Roman" w:hAnsi="Times New Roman" w:cs="Times New Roman"/>
          <w:i/>
          <w:color w:val="808080" w:themeColor="background1" w:themeShade="80"/>
          <w:sz w:val="24"/>
          <w:szCs w:val="24"/>
          <w:lang w:val="en-AU"/>
        </w:rPr>
      </w:pPr>
    </w:p>
    <w:p w14:paraId="534EA419" w14:textId="69DEB966" w:rsidR="005C7608" w:rsidRPr="001F7443" w:rsidRDefault="00154ACA" w:rsidP="00CF0BB1">
      <w:pPr>
        <w:rPr>
          <w:rFonts w:ascii="Times New Roman" w:hAnsi="Times New Roman" w:cs="Times New Roman"/>
          <w:i/>
          <w:sz w:val="24"/>
          <w:szCs w:val="24"/>
          <w:lang w:val="en-AU"/>
        </w:rPr>
      </w:pPr>
      <w:r w:rsidRPr="001F7443">
        <w:rPr>
          <w:rFonts w:ascii="Times New Roman" w:hAnsi="Times New Roman" w:cs="Times New Roman"/>
          <w:i/>
          <w:sz w:val="24"/>
          <w:szCs w:val="24"/>
          <w:lang w:val="en-AU"/>
        </w:rPr>
        <w:t>cferrandiz@ibmcp.upv.es</w:t>
      </w:r>
    </w:p>
    <w:p w14:paraId="52ECECED" w14:textId="77777777" w:rsidR="009126C6" w:rsidRPr="001F7443" w:rsidRDefault="009126C6" w:rsidP="00CF0BB1">
      <w:pPr>
        <w:pStyle w:val="ICLGG201799Emptyrow"/>
        <w:ind w:firstLine="0"/>
        <w:rPr>
          <w:rFonts w:ascii="Times New Roman" w:hAnsi="Times New Roman" w:cs="Times New Roman"/>
          <w:sz w:val="24"/>
          <w:szCs w:val="24"/>
          <w:lang w:val="en-AU"/>
        </w:rPr>
      </w:pPr>
    </w:p>
    <w:p w14:paraId="664A2972" w14:textId="5C0C5E9E" w:rsidR="009126C6" w:rsidRPr="001F7443" w:rsidRDefault="009126C6" w:rsidP="00CF0BB1">
      <w:pPr>
        <w:pStyle w:val="ICLGG201703Institutions"/>
        <w:jc w:val="both"/>
        <w:rPr>
          <w:rFonts w:ascii="Times New Roman" w:hAnsi="Times New Roman" w:cs="Times New Roman"/>
          <w:sz w:val="24"/>
          <w:szCs w:val="24"/>
          <w:lang w:val="en-AU"/>
        </w:rPr>
      </w:pPr>
      <w:r w:rsidRPr="001F7443">
        <w:rPr>
          <w:rFonts w:ascii="Times New Roman" w:hAnsi="Times New Roman" w:cs="Times New Roman"/>
          <w:sz w:val="24"/>
          <w:szCs w:val="24"/>
          <w:vertAlign w:val="superscript"/>
          <w:lang w:val="en-AU"/>
        </w:rPr>
        <w:t>1</w:t>
      </w:r>
      <w:r w:rsidRPr="001F7443">
        <w:rPr>
          <w:rFonts w:ascii="Times New Roman" w:hAnsi="Times New Roman" w:cs="Times New Roman"/>
          <w:sz w:val="24"/>
          <w:szCs w:val="24"/>
          <w:lang w:val="en-AU"/>
        </w:rPr>
        <w:tab/>
      </w:r>
      <w:r w:rsidR="00FE4FCE" w:rsidRPr="001F7443">
        <w:rPr>
          <w:rFonts w:ascii="Times New Roman" w:hAnsi="Times New Roman" w:cs="Times New Roman"/>
          <w:sz w:val="24"/>
          <w:szCs w:val="24"/>
          <w:lang w:val="en-AU"/>
        </w:rPr>
        <w:t>School of Natural Sciences, University of Tasmania, Hobart, TAS 7001 Australia</w:t>
      </w:r>
    </w:p>
    <w:p w14:paraId="4624E317" w14:textId="3CCD9F0C" w:rsidR="009126C6" w:rsidRPr="001F7443" w:rsidRDefault="009126C6" w:rsidP="00CF0BB1">
      <w:pPr>
        <w:pStyle w:val="ICLGG201703Institutions"/>
        <w:jc w:val="both"/>
        <w:rPr>
          <w:rFonts w:ascii="Times New Roman" w:hAnsi="Times New Roman" w:cs="Times New Roman"/>
          <w:sz w:val="24"/>
          <w:szCs w:val="24"/>
          <w:lang w:val="en-AU"/>
        </w:rPr>
      </w:pPr>
      <w:r w:rsidRPr="001F7443">
        <w:rPr>
          <w:rFonts w:ascii="Times New Roman" w:hAnsi="Times New Roman" w:cs="Times New Roman"/>
          <w:sz w:val="24"/>
          <w:szCs w:val="24"/>
          <w:vertAlign w:val="superscript"/>
          <w:lang w:val="en-AU"/>
        </w:rPr>
        <w:t>2</w:t>
      </w:r>
      <w:r w:rsidRPr="001F7443">
        <w:rPr>
          <w:rFonts w:ascii="Times New Roman" w:hAnsi="Times New Roman" w:cs="Times New Roman"/>
          <w:sz w:val="24"/>
          <w:szCs w:val="24"/>
          <w:lang w:val="en-AU"/>
        </w:rPr>
        <w:tab/>
      </w:r>
      <w:r w:rsidR="00FE4FCE" w:rsidRPr="001F7443">
        <w:rPr>
          <w:rFonts w:ascii="Times New Roman" w:hAnsi="Times New Roman" w:cs="Times New Roman"/>
          <w:sz w:val="24"/>
          <w:szCs w:val="24"/>
          <w:lang w:val="en-AU"/>
        </w:rPr>
        <w:t>ARC Centre of Excellence for Plant Success</w:t>
      </w:r>
    </w:p>
    <w:p w14:paraId="27A58258" w14:textId="3CE2ADF8" w:rsidR="00FE4FCE" w:rsidRPr="001F7443" w:rsidRDefault="00FE4FCE" w:rsidP="00CF0BB1">
      <w:pPr>
        <w:pStyle w:val="ICLGG201703Institutions"/>
        <w:ind w:left="420" w:hanging="420"/>
        <w:jc w:val="both"/>
        <w:rPr>
          <w:rFonts w:ascii="Times New Roman" w:eastAsia="Avenir" w:hAnsi="Times New Roman" w:cs="Times New Roman"/>
          <w:color w:val="000000"/>
          <w:sz w:val="24"/>
          <w:szCs w:val="24"/>
          <w:lang w:val="es-ES"/>
        </w:rPr>
      </w:pPr>
      <w:r w:rsidRPr="001F7443">
        <w:rPr>
          <w:rFonts w:ascii="Times New Roman" w:hAnsi="Times New Roman" w:cs="Times New Roman"/>
          <w:sz w:val="24"/>
          <w:szCs w:val="24"/>
          <w:vertAlign w:val="superscript"/>
          <w:lang w:val="es-ES"/>
        </w:rPr>
        <w:t>3</w:t>
      </w:r>
      <w:r w:rsidRPr="001F7443">
        <w:rPr>
          <w:rFonts w:ascii="Times New Roman" w:hAnsi="Times New Roman" w:cs="Times New Roman"/>
          <w:sz w:val="24"/>
          <w:szCs w:val="24"/>
          <w:lang w:val="es-ES"/>
        </w:rPr>
        <w:tab/>
      </w:r>
      <w:r w:rsidR="00E91D76" w:rsidRPr="001F7443">
        <w:rPr>
          <w:rFonts w:ascii="Times New Roman" w:hAnsi="Times New Roman" w:cs="Times New Roman"/>
          <w:sz w:val="24"/>
          <w:szCs w:val="24"/>
          <w:lang w:val="es-ES"/>
        </w:rPr>
        <w:t>In</w:t>
      </w:r>
      <w:r w:rsidR="00E91D76" w:rsidRPr="001F7443">
        <w:rPr>
          <w:rFonts w:ascii="Times New Roman" w:eastAsia="Avenir" w:hAnsi="Times New Roman" w:cs="Times New Roman"/>
          <w:color w:val="000000"/>
          <w:sz w:val="24"/>
          <w:szCs w:val="24"/>
          <w:lang w:val="es-ES"/>
        </w:rPr>
        <w:t>stituto de Biología Molecular y Celular de Plantas, Consejo Superior de Investigaciones Científicas-Universitat Politècnica de Valencia, 46022 Valencia, Spain.</w:t>
      </w:r>
    </w:p>
    <w:p w14:paraId="57475D16" w14:textId="77777777" w:rsidR="00154ACA" w:rsidRPr="001F7443" w:rsidRDefault="00154ACA" w:rsidP="00CF0BB1">
      <w:pPr>
        <w:pStyle w:val="ICLGG201703Institutions"/>
        <w:ind w:left="420" w:hanging="420"/>
        <w:jc w:val="both"/>
        <w:rPr>
          <w:rFonts w:ascii="Times New Roman" w:hAnsi="Times New Roman" w:cs="Times New Roman"/>
          <w:sz w:val="24"/>
          <w:szCs w:val="24"/>
          <w:lang w:val="es-ES"/>
        </w:rPr>
      </w:pPr>
    </w:p>
    <w:p w14:paraId="3B2021D5" w14:textId="61AF6137" w:rsidR="00FE4FCE" w:rsidRPr="001F7443" w:rsidRDefault="00FE4FCE" w:rsidP="00CF0BB1">
      <w:pPr>
        <w:pStyle w:val="ICLGG201703Institutions"/>
        <w:jc w:val="both"/>
        <w:rPr>
          <w:rFonts w:ascii="Times New Roman" w:hAnsi="Times New Roman" w:cs="Times New Roman"/>
          <w:sz w:val="24"/>
          <w:szCs w:val="24"/>
          <w:lang w:val="es-ES"/>
        </w:rPr>
      </w:pPr>
    </w:p>
    <w:p w14:paraId="7E32848B" w14:textId="17A80570" w:rsidR="00BE3E53" w:rsidRPr="00BE3E53" w:rsidRDefault="00BE3E53" w:rsidP="00CF0BB1">
      <w:pPr>
        <w:jc w:val="left"/>
        <w:rPr>
          <w:rFonts w:ascii="Times New Roman" w:hAnsi="Times New Roman" w:cs="Times New Roman"/>
          <w:sz w:val="24"/>
          <w:szCs w:val="24"/>
          <w:lang w:val="la-Latn" w:eastAsia="en-AU"/>
        </w:rPr>
      </w:pPr>
      <w:r w:rsidRPr="001F7443">
        <w:rPr>
          <w:rFonts w:ascii="Times New Roman" w:hAnsi="Times New Roman" w:cs="Times New Roman"/>
          <w:sz w:val="24"/>
          <w:szCs w:val="24"/>
          <w:lang w:val="la-Latn" w:eastAsia="en-AU"/>
        </w:rPr>
        <w:t>Flowering plants strategically adjust their reproductive timing to enhance the success</w:t>
      </w:r>
      <w:r w:rsidRPr="00BE3E53">
        <w:rPr>
          <w:rFonts w:ascii="Times New Roman" w:hAnsi="Times New Roman" w:cs="Times New Roman"/>
          <w:sz w:val="24"/>
          <w:szCs w:val="24"/>
          <w:lang w:val="la-Latn" w:eastAsia="en-AU"/>
        </w:rPr>
        <w:t xml:space="preserve"> of their progeny. Monocarpic plants, which undergo a single reproductive cycle before senescence and death, precisely regulate the initiation and termination of flowering. The </w:t>
      </w:r>
      <w:r>
        <w:rPr>
          <w:rFonts w:ascii="Times New Roman" w:hAnsi="Times New Roman" w:cs="Times New Roman"/>
          <w:sz w:val="24"/>
          <w:szCs w:val="24"/>
          <w:lang w:val="la-Latn" w:eastAsia="en-AU"/>
        </w:rPr>
        <w:t>end</w:t>
      </w:r>
      <w:r w:rsidRPr="00BE3E53">
        <w:rPr>
          <w:rFonts w:ascii="Times New Roman" w:hAnsi="Times New Roman" w:cs="Times New Roman"/>
          <w:sz w:val="24"/>
          <w:szCs w:val="24"/>
          <w:lang w:val="la-Latn" w:eastAsia="en-AU"/>
        </w:rPr>
        <w:t xml:space="preserve"> of flowering, referred to as proliferative arrest</w:t>
      </w:r>
      <w:r>
        <w:rPr>
          <w:rFonts w:ascii="Times New Roman" w:hAnsi="Times New Roman" w:cs="Times New Roman"/>
          <w:sz w:val="24"/>
          <w:szCs w:val="24"/>
          <w:lang w:val="la-Latn" w:eastAsia="en-AU"/>
        </w:rPr>
        <w:t xml:space="preserve"> (PA)</w:t>
      </w:r>
      <w:r w:rsidRPr="00BE3E53">
        <w:rPr>
          <w:rFonts w:ascii="Times New Roman" w:hAnsi="Times New Roman" w:cs="Times New Roman"/>
          <w:sz w:val="24"/>
          <w:szCs w:val="24"/>
          <w:lang w:val="la-Latn" w:eastAsia="en-AU"/>
        </w:rPr>
        <w:t>, involves the cessation of inflorescence meristem activity, an evolutionary adaptation aimed at optimizing resource allocation for seed production and progeny viability</w:t>
      </w:r>
      <w:r w:rsidR="00D872CA">
        <w:rPr>
          <w:rFonts w:ascii="Times New Roman" w:hAnsi="Times New Roman" w:cs="Times New Roman"/>
          <w:sz w:val="24"/>
          <w:szCs w:val="24"/>
          <w:lang w:val="la-Latn" w:eastAsia="en-AU"/>
        </w:rPr>
        <w:t xml:space="preserve"> </w:t>
      </w:r>
      <w:r>
        <w:rPr>
          <w:rFonts w:ascii="Times New Roman" w:hAnsi="Times New Roman" w:cs="Times New Roman"/>
          <w:sz w:val="24"/>
          <w:szCs w:val="24"/>
          <w:lang w:val="la-Latn" w:eastAsia="en-AU"/>
        </w:rPr>
        <w:t>[1</w:t>
      </w:r>
      <w:r w:rsidR="00154ACA">
        <w:rPr>
          <w:rFonts w:ascii="Times New Roman" w:hAnsi="Times New Roman" w:cs="Times New Roman"/>
          <w:sz w:val="24"/>
          <w:szCs w:val="24"/>
          <w:lang w:val="la-Latn" w:eastAsia="en-AU"/>
        </w:rPr>
        <w:t>,2</w:t>
      </w:r>
      <w:r>
        <w:rPr>
          <w:rFonts w:ascii="Times New Roman" w:hAnsi="Times New Roman" w:cs="Times New Roman"/>
          <w:sz w:val="24"/>
          <w:szCs w:val="24"/>
          <w:lang w:val="la-Latn" w:eastAsia="en-AU"/>
        </w:rPr>
        <w:t>]</w:t>
      </w:r>
      <w:r w:rsidRPr="00BE3E53">
        <w:rPr>
          <w:rFonts w:ascii="Times New Roman" w:hAnsi="Times New Roman" w:cs="Times New Roman"/>
          <w:sz w:val="24"/>
          <w:szCs w:val="24"/>
          <w:lang w:val="la-Latn" w:eastAsia="en-AU"/>
        </w:rPr>
        <w:t>. Although factors influencing proliferative arrest were identified in several monocarpic species decades ago, recent comprehensive studies in Arabidopsis have examined its regulation through physiology, hormone dynamics, and genetic factors</w:t>
      </w:r>
      <w:r>
        <w:rPr>
          <w:rFonts w:ascii="Times New Roman" w:hAnsi="Times New Roman" w:cs="Times New Roman"/>
          <w:sz w:val="24"/>
          <w:szCs w:val="24"/>
          <w:lang w:val="la-Latn" w:eastAsia="en-AU"/>
        </w:rPr>
        <w:t xml:space="preserve"> [</w:t>
      </w:r>
      <w:r w:rsidR="00D872CA">
        <w:rPr>
          <w:rFonts w:ascii="Times New Roman" w:hAnsi="Times New Roman" w:cs="Times New Roman"/>
          <w:sz w:val="24"/>
          <w:szCs w:val="24"/>
          <w:lang w:val="la-Latn" w:eastAsia="en-AU"/>
        </w:rPr>
        <w:t>1</w:t>
      </w:r>
      <w:r w:rsidR="00154ACA">
        <w:rPr>
          <w:rFonts w:ascii="Times New Roman" w:hAnsi="Times New Roman" w:cs="Times New Roman"/>
          <w:sz w:val="24"/>
          <w:szCs w:val="24"/>
          <w:lang w:val="la-Latn" w:eastAsia="en-AU"/>
        </w:rPr>
        <w:t>,2</w:t>
      </w:r>
      <w:r>
        <w:rPr>
          <w:rFonts w:ascii="Times New Roman" w:hAnsi="Times New Roman" w:cs="Times New Roman"/>
          <w:sz w:val="24"/>
          <w:szCs w:val="24"/>
          <w:lang w:val="la-Latn" w:eastAsia="en-AU"/>
        </w:rPr>
        <w:t>]</w:t>
      </w:r>
      <w:r w:rsidRPr="00BE3E53">
        <w:rPr>
          <w:rFonts w:ascii="Times New Roman" w:hAnsi="Times New Roman" w:cs="Times New Roman"/>
          <w:sz w:val="24"/>
          <w:szCs w:val="24"/>
          <w:lang w:val="la-Latn" w:eastAsia="en-AU"/>
        </w:rPr>
        <w:t>. However, these studies are currently limited to Arabidopsis, highlighting the need to extend research to other monocarpic species to propose universal mechanisms.</w:t>
      </w:r>
    </w:p>
    <w:p w14:paraId="7313B5D0" w14:textId="77777777" w:rsidR="00BE3E53" w:rsidRPr="00BE3E53" w:rsidRDefault="00BE3E53" w:rsidP="00CF0BB1">
      <w:pPr>
        <w:jc w:val="left"/>
        <w:rPr>
          <w:rFonts w:ascii="Times New Roman" w:hAnsi="Times New Roman" w:cs="Times New Roman"/>
          <w:sz w:val="24"/>
          <w:szCs w:val="24"/>
          <w:lang w:val="la-Latn" w:eastAsia="en-AU"/>
        </w:rPr>
      </w:pPr>
    </w:p>
    <w:p w14:paraId="26048F59" w14:textId="6EDFE10E" w:rsidR="00234A08" w:rsidRDefault="00BE3E53" w:rsidP="00CF0BB1">
      <w:pPr>
        <w:jc w:val="left"/>
        <w:rPr>
          <w:rFonts w:ascii="Times New Roman" w:hAnsi="Times New Roman" w:cs="Times New Roman"/>
          <w:sz w:val="24"/>
          <w:szCs w:val="24"/>
          <w:lang w:val="la-Latn" w:eastAsia="en-AU"/>
        </w:rPr>
      </w:pPr>
      <w:r w:rsidRPr="00BE3E53">
        <w:rPr>
          <w:rFonts w:ascii="Times New Roman" w:hAnsi="Times New Roman" w:cs="Times New Roman"/>
          <w:sz w:val="24"/>
          <w:szCs w:val="24"/>
          <w:lang w:val="la-Latn" w:eastAsia="en-AU"/>
        </w:rPr>
        <w:t xml:space="preserve">This study investigates proliferative arrest in </w:t>
      </w:r>
      <w:r w:rsidRPr="00BE3E53">
        <w:rPr>
          <w:rFonts w:ascii="Times New Roman" w:hAnsi="Times New Roman" w:cs="Times New Roman"/>
          <w:i/>
          <w:iCs/>
          <w:sz w:val="24"/>
          <w:szCs w:val="24"/>
          <w:lang w:val="la-Latn" w:eastAsia="en-AU"/>
        </w:rPr>
        <w:t>Pisum sativum</w:t>
      </w:r>
      <w:r w:rsidR="00D872CA">
        <w:rPr>
          <w:rFonts w:ascii="Times New Roman" w:hAnsi="Times New Roman" w:cs="Times New Roman"/>
          <w:sz w:val="24"/>
          <w:szCs w:val="24"/>
          <w:lang w:val="la-Latn" w:eastAsia="en-AU"/>
        </w:rPr>
        <w:t>,</w:t>
      </w:r>
      <w:r w:rsidRPr="00BE3E53">
        <w:rPr>
          <w:rFonts w:ascii="Times New Roman" w:hAnsi="Times New Roman" w:cs="Times New Roman"/>
          <w:sz w:val="24"/>
          <w:szCs w:val="24"/>
          <w:lang w:val="la-Latn" w:eastAsia="en-AU"/>
        </w:rPr>
        <w:t xml:space="preserve"> using available Arabidopsis studies as a comparative framework. We quantitatively assessed the influence of fruits/seeds on proliferative arrest, examined the positional effects of fruits/seeds on inflorescence meristem behavior, and analyzed the transcriptomic changes in the meristem associated with its arrested state. Our results demonstrate a high conservation of the factors inducing proliferative arrest in both pea and Arabidopsis. Nonetheless, the observed differences emphasize the necessity for similar investigations in other species to fully elucidate the general mechanisms governing this process.</w:t>
      </w:r>
    </w:p>
    <w:p w14:paraId="1003419D" w14:textId="77777777" w:rsidR="00BE3E53" w:rsidRPr="00BE3E53" w:rsidRDefault="00BE3E53" w:rsidP="00CF0BB1">
      <w:pPr>
        <w:rPr>
          <w:rFonts w:ascii="Times New Roman" w:hAnsi="Times New Roman" w:cs="Times New Roman"/>
          <w:sz w:val="24"/>
          <w:szCs w:val="24"/>
          <w:lang w:val="en-AU"/>
        </w:rPr>
      </w:pPr>
    </w:p>
    <w:p w14:paraId="6686E3B6" w14:textId="77777777" w:rsidR="009126C6" w:rsidRPr="005C7608" w:rsidRDefault="009126C6" w:rsidP="00CF0BB1">
      <w:pPr>
        <w:pStyle w:val="ICLGG201799Emptyrow"/>
        <w:rPr>
          <w:rFonts w:ascii="Times New Roman" w:hAnsi="Times New Roman" w:cs="Times New Roman"/>
          <w:lang w:val="en-AU"/>
        </w:rPr>
      </w:pPr>
    </w:p>
    <w:p w14:paraId="5FDAA890" w14:textId="77777777" w:rsidR="009126C6" w:rsidRDefault="009126C6" w:rsidP="00CF0BB1">
      <w:pPr>
        <w:pStyle w:val="ICLGG201704Body"/>
        <w:tabs>
          <w:tab w:val="left" w:pos="426"/>
        </w:tabs>
        <w:spacing w:after="0"/>
        <w:ind w:left="426" w:hanging="426"/>
        <w:rPr>
          <w:rFonts w:ascii="Times New Roman" w:hAnsi="Times New Roman" w:cs="Times New Roman"/>
          <w:b/>
          <w:i/>
          <w:sz w:val="24"/>
          <w:szCs w:val="24"/>
          <w:u w:val="single"/>
          <w:lang w:val="en-AU"/>
        </w:rPr>
      </w:pPr>
      <w:r w:rsidRPr="005C7608">
        <w:rPr>
          <w:rFonts w:ascii="Times New Roman" w:hAnsi="Times New Roman" w:cs="Times New Roman"/>
          <w:b/>
          <w:i/>
          <w:sz w:val="24"/>
          <w:szCs w:val="24"/>
          <w:u w:val="single"/>
          <w:lang w:val="en-AU"/>
        </w:rPr>
        <w:t>References:</w:t>
      </w:r>
    </w:p>
    <w:p w14:paraId="57A8DB91" w14:textId="77777777" w:rsidR="00CF0BB1" w:rsidRDefault="00CF0BB1" w:rsidP="00CF0BB1">
      <w:pPr>
        <w:pStyle w:val="ICLGG201704Body"/>
        <w:tabs>
          <w:tab w:val="left" w:pos="426"/>
        </w:tabs>
        <w:spacing w:after="0"/>
        <w:ind w:left="426" w:hanging="426"/>
        <w:rPr>
          <w:rFonts w:ascii="Times New Roman" w:hAnsi="Times New Roman" w:cs="Times New Roman"/>
          <w:b/>
          <w:i/>
          <w:sz w:val="24"/>
          <w:szCs w:val="24"/>
          <w:u w:val="single"/>
          <w:lang w:val="en-AU"/>
        </w:rPr>
      </w:pPr>
    </w:p>
    <w:p w14:paraId="3AAB5C13" w14:textId="20F69306" w:rsidR="00154ACA" w:rsidRPr="0069354D" w:rsidRDefault="00154ACA" w:rsidP="00CF0BB1">
      <w:pPr>
        <w:pStyle w:val="ICLGG201703Institutions"/>
        <w:ind w:left="284" w:hanging="284"/>
        <w:jc w:val="both"/>
        <w:rPr>
          <w:lang w:val="en-AU"/>
        </w:rPr>
      </w:pPr>
      <w:r w:rsidRPr="0069354D">
        <w:rPr>
          <w:lang w:val="en-AU"/>
        </w:rPr>
        <w:t>[</w:t>
      </w:r>
      <w:r>
        <w:rPr>
          <w:lang w:val="en-AU"/>
        </w:rPr>
        <w:t>1</w:t>
      </w:r>
      <w:r w:rsidRPr="0069354D">
        <w:rPr>
          <w:lang w:val="en-AU"/>
        </w:rPr>
        <w:t>]</w:t>
      </w:r>
      <w:r w:rsidRPr="0069354D">
        <w:rPr>
          <w:lang w:val="en-AU"/>
        </w:rPr>
        <w:tab/>
      </w:r>
      <w:r>
        <w:rPr>
          <w:lang w:val="en-AU"/>
        </w:rPr>
        <w:t>Ware</w:t>
      </w:r>
      <w:r w:rsidRPr="0069354D">
        <w:rPr>
          <w:lang w:val="en-AU"/>
        </w:rPr>
        <w:t xml:space="preserve"> </w:t>
      </w:r>
      <w:r>
        <w:rPr>
          <w:lang w:val="en-AU"/>
        </w:rPr>
        <w:t>A</w:t>
      </w:r>
      <w:r w:rsidRPr="0069354D">
        <w:rPr>
          <w:lang w:val="en-AU"/>
        </w:rPr>
        <w:t>. et al,</w:t>
      </w:r>
      <w:r>
        <w:rPr>
          <w:lang w:val="en-AU"/>
        </w:rPr>
        <w:t xml:space="preserve"> 2020</w:t>
      </w:r>
      <w:r w:rsidR="00EB15F6">
        <w:rPr>
          <w:lang w:val="en-AU"/>
        </w:rPr>
        <w:t>.</w:t>
      </w:r>
      <w:r w:rsidRPr="0069354D">
        <w:rPr>
          <w:lang w:val="en-AU"/>
        </w:rPr>
        <w:t xml:space="preserve"> </w:t>
      </w:r>
      <w:r w:rsidRPr="00154ACA">
        <w:rPr>
          <w:lang w:val="en-AU"/>
        </w:rPr>
        <w:t>Auxin export from proximal fruits drives arrest in temporally competent</w:t>
      </w:r>
      <w:r>
        <w:rPr>
          <w:lang w:val="en-AU"/>
        </w:rPr>
        <w:t xml:space="preserve"> </w:t>
      </w:r>
      <w:r w:rsidRPr="00154ACA">
        <w:rPr>
          <w:lang w:val="en-AU"/>
        </w:rPr>
        <w:t>inflorescences</w:t>
      </w:r>
      <w:r w:rsidRPr="0069354D">
        <w:rPr>
          <w:lang w:val="en-AU"/>
        </w:rPr>
        <w:t>,</w:t>
      </w:r>
      <w:r>
        <w:rPr>
          <w:lang w:val="en-AU"/>
        </w:rPr>
        <w:t xml:space="preserve"> Nat. Plants</w:t>
      </w:r>
      <w:r w:rsidRPr="0069354D">
        <w:rPr>
          <w:lang w:val="en-AU"/>
        </w:rPr>
        <w:t xml:space="preserve">, </w:t>
      </w:r>
      <w:r>
        <w:rPr>
          <w:lang w:val="en-AU"/>
        </w:rPr>
        <w:t>vol.</w:t>
      </w:r>
      <w:r w:rsidR="00EB15F6">
        <w:rPr>
          <w:lang w:val="en-AU"/>
        </w:rPr>
        <w:t xml:space="preserve"> 6</w:t>
      </w:r>
      <w:r>
        <w:rPr>
          <w:lang w:val="en-AU"/>
        </w:rPr>
        <w:t xml:space="preserve"> p. </w:t>
      </w:r>
      <w:r w:rsidR="00EB15F6">
        <w:rPr>
          <w:lang w:val="en-AU"/>
        </w:rPr>
        <w:t>699</w:t>
      </w:r>
      <w:r>
        <w:rPr>
          <w:lang w:val="en-AU"/>
        </w:rPr>
        <w:t>-</w:t>
      </w:r>
      <w:r w:rsidR="00EB15F6">
        <w:rPr>
          <w:lang w:val="en-AU"/>
        </w:rPr>
        <w:t>707</w:t>
      </w:r>
      <w:r w:rsidRPr="0069354D">
        <w:rPr>
          <w:lang w:val="en-AU"/>
        </w:rPr>
        <w:t>.</w:t>
      </w:r>
    </w:p>
    <w:p w14:paraId="1E56288C" w14:textId="2E731869" w:rsidR="009126C6" w:rsidRPr="0069354D" w:rsidRDefault="009126C6" w:rsidP="00CF0BB1">
      <w:pPr>
        <w:pStyle w:val="ICLGG201703Institutions"/>
        <w:ind w:left="284" w:hanging="284"/>
        <w:jc w:val="both"/>
        <w:rPr>
          <w:lang w:val="en-AU"/>
        </w:rPr>
      </w:pPr>
      <w:r w:rsidRPr="0069354D">
        <w:rPr>
          <w:lang w:val="en-AU"/>
        </w:rPr>
        <w:t>[</w:t>
      </w:r>
      <w:r w:rsidR="00154ACA">
        <w:rPr>
          <w:lang w:val="en-AU"/>
        </w:rPr>
        <w:t>2</w:t>
      </w:r>
      <w:r w:rsidRPr="0069354D">
        <w:rPr>
          <w:lang w:val="en-AU"/>
        </w:rPr>
        <w:t>]</w:t>
      </w:r>
      <w:r w:rsidRPr="0069354D">
        <w:rPr>
          <w:lang w:val="en-AU"/>
        </w:rPr>
        <w:tab/>
      </w:r>
      <w:r w:rsidR="00D872CA">
        <w:rPr>
          <w:lang w:val="en-AU"/>
        </w:rPr>
        <w:t>Balanzà</w:t>
      </w:r>
      <w:r w:rsidRPr="0069354D">
        <w:rPr>
          <w:lang w:val="en-AU"/>
        </w:rPr>
        <w:t xml:space="preserve"> </w:t>
      </w:r>
      <w:r w:rsidR="00D872CA">
        <w:rPr>
          <w:lang w:val="en-AU"/>
        </w:rPr>
        <w:t>V</w:t>
      </w:r>
      <w:r w:rsidRPr="0069354D">
        <w:rPr>
          <w:lang w:val="en-AU"/>
        </w:rPr>
        <w:t>. et al,</w:t>
      </w:r>
      <w:r w:rsidR="00C84799">
        <w:rPr>
          <w:lang w:val="en-AU"/>
        </w:rPr>
        <w:t xml:space="preserve"> 2023</w:t>
      </w:r>
      <w:r w:rsidR="00EB15F6">
        <w:rPr>
          <w:lang w:val="en-AU"/>
        </w:rPr>
        <w:t>.</w:t>
      </w:r>
      <w:r w:rsidRPr="0069354D">
        <w:rPr>
          <w:lang w:val="en-AU"/>
        </w:rPr>
        <w:t xml:space="preserve"> </w:t>
      </w:r>
      <w:r w:rsidR="00D872CA">
        <w:rPr>
          <w:lang w:val="en-AU"/>
        </w:rPr>
        <w:t>Flowering also has to end: knowns and unknowns of reproductive arrest in monocarpic plants</w:t>
      </w:r>
      <w:r w:rsidRPr="0069354D">
        <w:rPr>
          <w:lang w:val="en-AU"/>
        </w:rPr>
        <w:t xml:space="preserve">, </w:t>
      </w:r>
      <w:r w:rsidR="00154ACA" w:rsidRPr="00C84799">
        <w:rPr>
          <w:lang w:val="en-AU"/>
        </w:rPr>
        <w:t>J. Exp. Bot.</w:t>
      </w:r>
      <w:r w:rsidRPr="0069354D">
        <w:rPr>
          <w:lang w:val="en-AU"/>
        </w:rPr>
        <w:t xml:space="preserve">, </w:t>
      </w:r>
      <w:r w:rsidR="00C84799">
        <w:rPr>
          <w:lang w:val="en-AU"/>
        </w:rPr>
        <w:t>vol</w:t>
      </w:r>
      <w:r w:rsidR="00154ACA">
        <w:rPr>
          <w:lang w:val="en-AU"/>
        </w:rPr>
        <w:t xml:space="preserve">. </w:t>
      </w:r>
      <w:r w:rsidR="00C84799">
        <w:rPr>
          <w:lang w:val="en-AU"/>
        </w:rPr>
        <w:t>74 no.</w:t>
      </w:r>
      <w:r w:rsidR="00154ACA">
        <w:rPr>
          <w:lang w:val="en-AU"/>
        </w:rPr>
        <w:t xml:space="preserve"> 1</w:t>
      </w:r>
      <w:r w:rsidR="00C84799">
        <w:rPr>
          <w:lang w:val="en-AU"/>
        </w:rPr>
        <w:t>4, p. 3951-3960</w:t>
      </w:r>
      <w:r w:rsidRPr="0069354D">
        <w:rPr>
          <w:lang w:val="en-AU"/>
        </w:rPr>
        <w:t>.</w:t>
      </w:r>
    </w:p>
    <w:p w14:paraId="4BD1F956" w14:textId="77777777" w:rsidR="00C84799" w:rsidRDefault="00C84799" w:rsidP="00154ACA">
      <w:pPr>
        <w:rPr>
          <w:rFonts w:ascii="Times New Roman" w:hAnsi="Times New Roman" w:cs="Times New Roman"/>
          <w:i/>
          <w:color w:val="808080" w:themeColor="background1" w:themeShade="80"/>
          <w:lang w:val="en-AU"/>
        </w:rPr>
      </w:pPr>
    </w:p>
    <w:p w14:paraId="66FB0CD5" w14:textId="77777777" w:rsidR="00EF022F" w:rsidRPr="005C7608" w:rsidRDefault="00EF022F" w:rsidP="00154ACA">
      <w:pPr>
        <w:rPr>
          <w:rFonts w:ascii="Times New Roman" w:hAnsi="Times New Roman" w:cs="Times New Roman"/>
          <w:lang w:val="en-AU"/>
        </w:rPr>
      </w:pPr>
    </w:p>
    <w:p w14:paraId="48283A78" w14:textId="77777777" w:rsidR="009126C6" w:rsidRPr="005C7608" w:rsidRDefault="009126C6" w:rsidP="00154ACA">
      <w:pPr>
        <w:rPr>
          <w:rFonts w:ascii="Times New Roman" w:hAnsi="Times New Roman" w:cs="Times New Roman"/>
          <w:lang w:val="en-AU"/>
        </w:rPr>
      </w:pPr>
    </w:p>
    <w:p w14:paraId="4A57E76F" w14:textId="77777777" w:rsidR="009126C6" w:rsidRPr="005C7608" w:rsidRDefault="009126C6" w:rsidP="00154ACA">
      <w:pPr>
        <w:rPr>
          <w:rFonts w:ascii="Times New Roman" w:hAnsi="Times New Roman" w:cs="Times New Roman"/>
          <w:lang w:val="en-AU"/>
        </w:rPr>
      </w:pPr>
    </w:p>
    <w:sectPr w:rsidR="009126C6" w:rsidRPr="005C760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icrosoft Uighur">
    <w:panose1 w:val="02000000000000000000"/>
    <w:charset w:val="B2"/>
    <w:family w:val="auto"/>
    <w:pitch w:val="variable"/>
    <w:sig w:usb0="80002003" w:usb1="80000000" w:usb2="00000008" w:usb3="00000000" w:csb0="00000041" w:csb1="00000000"/>
  </w:font>
  <w:font w:name="Garamond">
    <w:panose1 w:val="02020404030301010803"/>
    <w:charset w:val="00"/>
    <w:family w:val="roman"/>
    <w:pitch w:val="variable"/>
    <w:sig w:usb0="00000287" w:usb1="00000002" w:usb2="00000000" w:usb3="00000000" w:csb0="0000009F" w:csb1="00000000"/>
  </w:font>
  <w:font w:name="Courier New">
    <w:panose1 w:val="02070309020205020404"/>
    <w:charset w:val="00"/>
    <w:family w:val="modern"/>
    <w:pitch w:val="fixed"/>
    <w:sig w:usb0="E0002EFF" w:usb1="C0007843" w:usb2="00000009" w:usb3="00000000" w:csb0="000001FF" w:csb1="00000000"/>
  </w:font>
  <w:font w:name="Avenir">
    <w:panose1 w:val="02000503020000020003"/>
    <w:charset w:val="4D"/>
    <w:family w:val="swiss"/>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C52FCB"/>
    <w:multiLevelType w:val="multilevel"/>
    <w:tmpl w:val="7E24CB64"/>
    <w:lvl w:ilvl="0">
      <w:start w:val="1"/>
      <w:numFmt w:val="decimal"/>
      <w:lvlText w:val="%1."/>
      <w:lvlJc w:val="left"/>
      <w:pPr>
        <w:ind w:left="720" w:hanging="360"/>
      </w:pPr>
      <w:rPr>
        <w:rFonts w:ascii="Times New Roman" w:eastAsia="Times New Roman" w:hAnsi="Times New Roman" w:cs="Times New Roman"/>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3580515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6C6"/>
    <w:rsid w:val="00086C6E"/>
    <w:rsid w:val="000B21D5"/>
    <w:rsid w:val="0011541E"/>
    <w:rsid w:val="00154ACA"/>
    <w:rsid w:val="001956AD"/>
    <w:rsid w:val="001D72AC"/>
    <w:rsid w:val="001F7443"/>
    <w:rsid w:val="00234A08"/>
    <w:rsid w:val="002B7ABD"/>
    <w:rsid w:val="003E7225"/>
    <w:rsid w:val="00477E9B"/>
    <w:rsid w:val="005C2ABC"/>
    <w:rsid w:val="005C7608"/>
    <w:rsid w:val="00625F6A"/>
    <w:rsid w:val="0069354D"/>
    <w:rsid w:val="006C1D10"/>
    <w:rsid w:val="006F0989"/>
    <w:rsid w:val="007465CD"/>
    <w:rsid w:val="00771CA6"/>
    <w:rsid w:val="007C1B7A"/>
    <w:rsid w:val="008E0EA1"/>
    <w:rsid w:val="009126C6"/>
    <w:rsid w:val="00954065"/>
    <w:rsid w:val="009C49E6"/>
    <w:rsid w:val="00A72105"/>
    <w:rsid w:val="00B06A0F"/>
    <w:rsid w:val="00B95F24"/>
    <w:rsid w:val="00BB606A"/>
    <w:rsid w:val="00BE0837"/>
    <w:rsid w:val="00BE396B"/>
    <w:rsid w:val="00BE3E53"/>
    <w:rsid w:val="00C67541"/>
    <w:rsid w:val="00C84799"/>
    <w:rsid w:val="00CF0BB1"/>
    <w:rsid w:val="00D872CA"/>
    <w:rsid w:val="00E23263"/>
    <w:rsid w:val="00E80A77"/>
    <w:rsid w:val="00E91D76"/>
    <w:rsid w:val="00EA1A42"/>
    <w:rsid w:val="00EA3F6C"/>
    <w:rsid w:val="00EA7F59"/>
    <w:rsid w:val="00EB15F6"/>
    <w:rsid w:val="00EF022F"/>
    <w:rsid w:val="00FE4FCE"/>
  </w:rsids>
  <m:mathPr>
    <m:mathFont m:val="Cambria Math"/>
    <m:brkBin m:val="before"/>
    <m:brkBinSub m:val="--"/>
    <m:smallFrac m:val="0"/>
    <m:dispDef/>
    <m:lMargin m:val="0"/>
    <m:rMargin m:val="0"/>
    <m:defJc m:val="centerGroup"/>
    <m:wrapIndent m:val="1440"/>
    <m:intLim m:val="subSup"/>
    <m:naryLim m:val="undOvr"/>
  </m:mathPr>
  <w:themeFontLang w:val="fr-FR" w:bidi="ug-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078C4"/>
  <w15:chartTrackingRefBased/>
  <w15:docId w15:val="{1B58288A-6078-4FF6-97AE-EB0A19B32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26C6"/>
    <w:pPr>
      <w:spacing w:after="0" w:line="240" w:lineRule="auto"/>
      <w:jc w:val="both"/>
    </w:pPr>
    <w:rPr>
      <w:rFonts w:cstheme="minorHAnsi"/>
      <w:lang w:val="hu-H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CLGG201701Title">
    <w:name w:val="ICLGG 2017 01 Title"/>
    <w:basedOn w:val="Normal"/>
    <w:qFormat/>
    <w:rsid w:val="009126C6"/>
    <w:pPr>
      <w:jc w:val="left"/>
    </w:pPr>
    <w:rPr>
      <w:b/>
      <w:sz w:val="36"/>
      <w:szCs w:val="32"/>
    </w:rPr>
  </w:style>
  <w:style w:type="paragraph" w:customStyle="1" w:styleId="ICLGG201702Authors">
    <w:name w:val="ICLGG 2017 02 Authors"/>
    <w:basedOn w:val="Normal"/>
    <w:qFormat/>
    <w:rsid w:val="009126C6"/>
    <w:pPr>
      <w:jc w:val="left"/>
    </w:pPr>
    <w:rPr>
      <w:rFonts w:ascii="Garamond" w:hAnsi="Garamond"/>
      <w:sz w:val="26"/>
      <w:szCs w:val="26"/>
    </w:rPr>
  </w:style>
  <w:style w:type="paragraph" w:customStyle="1" w:styleId="ICLGG201703Institutions">
    <w:name w:val="ICLGG 2017 03 Institutions"/>
    <w:basedOn w:val="ICLGG201702Authors"/>
    <w:qFormat/>
    <w:rsid w:val="009126C6"/>
    <w:pPr>
      <w:tabs>
        <w:tab w:val="left" w:pos="426"/>
      </w:tabs>
    </w:pPr>
    <w:rPr>
      <w:i/>
    </w:rPr>
  </w:style>
  <w:style w:type="paragraph" w:customStyle="1" w:styleId="ICLGG201704Body">
    <w:name w:val="ICLGG 2017 04 Body"/>
    <w:basedOn w:val="Normal"/>
    <w:qFormat/>
    <w:rsid w:val="009126C6"/>
    <w:pPr>
      <w:spacing w:after="120"/>
      <w:ind w:firstLine="142"/>
    </w:pPr>
    <w:rPr>
      <w:rFonts w:ascii="Garamond" w:hAnsi="Garamond"/>
    </w:rPr>
  </w:style>
  <w:style w:type="paragraph" w:customStyle="1" w:styleId="ICLGG201799Emptyrow">
    <w:name w:val="ICLGG 2017 99 Empty row"/>
    <w:basedOn w:val="ICLGG201704Body"/>
    <w:qFormat/>
    <w:rsid w:val="009126C6"/>
    <w:pPr>
      <w:spacing w:after="0"/>
    </w:pPr>
  </w:style>
  <w:style w:type="paragraph" w:styleId="HTMLPreformatted">
    <w:name w:val="HTML Preformatted"/>
    <w:basedOn w:val="Normal"/>
    <w:link w:val="HTMLPreformattedChar"/>
    <w:uiPriority w:val="99"/>
    <w:semiHidden/>
    <w:unhideWhenUsed/>
    <w:rsid w:val="00693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0"/>
      <w:lang w:val="en-AU" w:eastAsia="en-AU"/>
    </w:rPr>
  </w:style>
  <w:style w:type="character" w:customStyle="1" w:styleId="HTMLPreformattedChar">
    <w:name w:val="HTML Preformatted Char"/>
    <w:basedOn w:val="DefaultParagraphFont"/>
    <w:link w:val="HTMLPreformatted"/>
    <w:uiPriority w:val="99"/>
    <w:semiHidden/>
    <w:rsid w:val="0069354D"/>
    <w:rPr>
      <w:rFonts w:ascii="Courier New" w:eastAsia="Times New Roman" w:hAnsi="Courier New" w:cs="Courier New"/>
      <w:sz w:val="20"/>
      <w:szCs w:val="20"/>
      <w:lang w:val="en-AU" w:eastAsia="en-AU"/>
    </w:rPr>
  </w:style>
  <w:style w:type="character" w:customStyle="1" w:styleId="y2iqfc">
    <w:name w:val="y2iqfc"/>
    <w:basedOn w:val="DefaultParagraphFont"/>
    <w:rsid w:val="0069354D"/>
  </w:style>
  <w:style w:type="paragraph" w:styleId="NoSpacing">
    <w:name w:val="No Spacing"/>
    <w:uiPriority w:val="1"/>
    <w:qFormat/>
    <w:rsid w:val="0069354D"/>
    <w:pPr>
      <w:spacing w:after="0" w:line="240" w:lineRule="auto"/>
      <w:jc w:val="both"/>
    </w:pPr>
    <w:rPr>
      <w:rFonts w:cstheme="minorHAnsi"/>
      <w:lang w:val="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2012164">
      <w:bodyDiv w:val="1"/>
      <w:marLeft w:val="0"/>
      <w:marRight w:val="0"/>
      <w:marTop w:val="0"/>
      <w:marBottom w:val="0"/>
      <w:divBdr>
        <w:top w:val="none" w:sz="0" w:space="0" w:color="auto"/>
        <w:left w:val="none" w:sz="0" w:space="0" w:color="auto"/>
        <w:bottom w:val="none" w:sz="0" w:space="0" w:color="auto"/>
        <w:right w:val="none" w:sz="0" w:space="0" w:color="auto"/>
      </w:divBdr>
    </w:div>
    <w:div w:id="1276905999">
      <w:bodyDiv w:val="1"/>
      <w:marLeft w:val="0"/>
      <w:marRight w:val="0"/>
      <w:marTop w:val="0"/>
      <w:marBottom w:val="0"/>
      <w:divBdr>
        <w:top w:val="none" w:sz="0" w:space="0" w:color="auto"/>
        <w:left w:val="none" w:sz="0" w:space="0" w:color="auto"/>
        <w:bottom w:val="none" w:sz="0" w:space="0" w:color="auto"/>
        <w:right w:val="none" w:sz="0" w:space="0" w:color="auto"/>
      </w:divBdr>
    </w:div>
    <w:div w:id="1354526838">
      <w:bodyDiv w:val="1"/>
      <w:marLeft w:val="0"/>
      <w:marRight w:val="0"/>
      <w:marTop w:val="0"/>
      <w:marBottom w:val="0"/>
      <w:divBdr>
        <w:top w:val="none" w:sz="0" w:space="0" w:color="auto"/>
        <w:left w:val="none" w:sz="0" w:space="0" w:color="auto"/>
        <w:bottom w:val="none" w:sz="0" w:space="0" w:color="auto"/>
        <w:right w:val="none" w:sz="0" w:space="0" w:color="auto"/>
      </w:divBdr>
      <w:divsChild>
        <w:div w:id="91977371">
          <w:marLeft w:val="0"/>
          <w:marRight w:val="0"/>
          <w:marTop w:val="0"/>
          <w:marBottom w:val="0"/>
          <w:divBdr>
            <w:top w:val="none" w:sz="0" w:space="0" w:color="auto"/>
            <w:left w:val="none" w:sz="0" w:space="0" w:color="auto"/>
            <w:bottom w:val="none" w:sz="0" w:space="0" w:color="auto"/>
            <w:right w:val="none" w:sz="0" w:space="0" w:color="auto"/>
          </w:divBdr>
          <w:divsChild>
            <w:div w:id="2027056563">
              <w:marLeft w:val="0"/>
              <w:marRight w:val="0"/>
              <w:marTop w:val="0"/>
              <w:marBottom w:val="0"/>
              <w:divBdr>
                <w:top w:val="none" w:sz="0" w:space="0" w:color="auto"/>
                <w:left w:val="none" w:sz="0" w:space="0" w:color="auto"/>
                <w:bottom w:val="none" w:sz="0" w:space="0" w:color="auto"/>
                <w:right w:val="none" w:sz="0" w:space="0" w:color="auto"/>
              </w:divBdr>
              <w:divsChild>
                <w:div w:id="652180105">
                  <w:marLeft w:val="0"/>
                  <w:marRight w:val="0"/>
                  <w:marTop w:val="0"/>
                  <w:marBottom w:val="0"/>
                  <w:divBdr>
                    <w:top w:val="none" w:sz="0" w:space="0" w:color="auto"/>
                    <w:left w:val="none" w:sz="0" w:space="0" w:color="auto"/>
                    <w:bottom w:val="none" w:sz="0" w:space="0" w:color="auto"/>
                    <w:right w:val="none" w:sz="0" w:space="0" w:color="auto"/>
                  </w:divBdr>
                  <w:divsChild>
                    <w:div w:id="482821846">
                      <w:marLeft w:val="0"/>
                      <w:marRight w:val="0"/>
                      <w:marTop w:val="0"/>
                      <w:marBottom w:val="0"/>
                      <w:divBdr>
                        <w:top w:val="none" w:sz="0" w:space="0" w:color="auto"/>
                        <w:left w:val="none" w:sz="0" w:space="0" w:color="auto"/>
                        <w:bottom w:val="none" w:sz="0" w:space="0" w:color="auto"/>
                        <w:right w:val="none" w:sz="0" w:space="0" w:color="auto"/>
                      </w:divBdr>
                      <w:divsChild>
                        <w:div w:id="169149798">
                          <w:marLeft w:val="0"/>
                          <w:marRight w:val="0"/>
                          <w:marTop w:val="0"/>
                          <w:marBottom w:val="0"/>
                          <w:divBdr>
                            <w:top w:val="none" w:sz="0" w:space="0" w:color="auto"/>
                            <w:left w:val="none" w:sz="0" w:space="0" w:color="auto"/>
                            <w:bottom w:val="none" w:sz="0" w:space="0" w:color="auto"/>
                            <w:right w:val="none" w:sz="0" w:space="0" w:color="auto"/>
                          </w:divBdr>
                          <w:divsChild>
                            <w:div w:id="2126650854">
                              <w:marLeft w:val="0"/>
                              <w:marRight w:val="0"/>
                              <w:marTop w:val="0"/>
                              <w:marBottom w:val="0"/>
                              <w:divBdr>
                                <w:top w:val="none" w:sz="0" w:space="0" w:color="auto"/>
                                <w:left w:val="none" w:sz="0" w:space="0" w:color="auto"/>
                                <w:bottom w:val="none" w:sz="0" w:space="0" w:color="auto"/>
                                <w:right w:val="none" w:sz="0" w:space="0" w:color="auto"/>
                              </w:divBdr>
                              <w:divsChild>
                                <w:div w:id="243877125">
                                  <w:marLeft w:val="0"/>
                                  <w:marRight w:val="0"/>
                                  <w:marTop w:val="0"/>
                                  <w:marBottom w:val="0"/>
                                  <w:divBdr>
                                    <w:top w:val="none" w:sz="0" w:space="0" w:color="auto"/>
                                    <w:left w:val="none" w:sz="0" w:space="0" w:color="auto"/>
                                    <w:bottom w:val="none" w:sz="0" w:space="0" w:color="auto"/>
                                    <w:right w:val="none" w:sz="0" w:space="0" w:color="auto"/>
                                  </w:divBdr>
                                  <w:divsChild>
                                    <w:div w:id="1046953753">
                                      <w:marLeft w:val="0"/>
                                      <w:marRight w:val="0"/>
                                      <w:marTop w:val="0"/>
                                      <w:marBottom w:val="0"/>
                                      <w:divBdr>
                                        <w:top w:val="none" w:sz="0" w:space="0" w:color="auto"/>
                                        <w:left w:val="none" w:sz="0" w:space="0" w:color="auto"/>
                                        <w:bottom w:val="none" w:sz="0" w:space="0" w:color="auto"/>
                                        <w:right w:val="none" w:sz="0" w:space="0" w:color="auto"/>
                                      </w:divBdr>
                                    </w:div>
                                    <w:div w:id="851185075">
                                      <w:marLeft w:val="0"/>
                                      <w:marRight w:val="0"/>
                                      <w:marTop w:val="0"/>
                                      <w:marBottom w:val="0"/>
                                      <w:divBdr>
                                        <w:top w:val="none" w:sz="0" w:space="0" w:color="auto"/>
                                        <w:left w:val="none" w:sz="0" w:space="0" w:color="auto"/>
                                        <w:bottom w:val="none" w:sz="0" w:space="0" w:color="auto"/>
                                        <w:right w:val="none" w:sz="0" w:space="0" w:color="auto"/>
                                      </w:divBdr>
                                      <w:divsChild>
                                        <w:div w:id="1639989804">
                                          <w:marLeft w:val="0"/>
                                          <w:marRight w:val="165"/>
                                          <w:marTop w:val="150"/>
                                          <w:marBottom w:val="0"/>
                                          <w:divBdr>
                                            <w:top w:val="none" w:sz="0" w:space="0" w:color="auto"/>
                                            <w:left w:val="none" w:sz="0" w:space="0" w:color="auto"/>
                                            <w:bottom w:val="none" w:sz="0" w:space="0" w:color="auto"/>
                                            <w:right w:val="none" w:sz="0" w:space="0" w:color="auto"/>
                                          </w:divBdr>
                                          <w:divsChild>
                                            <w:div w:id="1081296927">
                                              <w:marLeft w:val="0"/>
                                              <w:marRight w:val="0"/>
                                              <w:marTop w:val="0"/>
                                              <w:marBottom w:val="0"/>
                                              <w:divBdr>
                                                <w:top w:val="none" w:sz="0" w:space="0" w:color="auto"/>
                                                <w:left w:val="none" w:sz="0" w:space="0" w:color="auto"/>
                                                <w:bottom w:val="none" w:sz="0" w:space="0" w:color="auto"/>
                                                <w:right w:val="none" w:sz="0" w:space="0" w:color="auto"/>
                                              </w:divBdr>
                                              <w:divsChild>
                                                <w:div w:id="76889248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D14BD25-E781-4369-8C89-5E6D830691DA}">
  <we:reference id="f78a3046-9e99-4300-aa2b-5814002b01a2" version="1.55.1.0" store="EXCatalog" storeType="EXCatalog"/>
  <we:alternateReferences>
    <we:reference id="WA104382081" version="1.55.1.0" store="en-AU" storeType="OMEX"/>
  </we:alternateReferences>
  <we:properties>
    <we:property name="MENDELEY_CITATIONS" val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4C054142C5B5D4B8C99E9FB10779CAB" ma:contentTypeVersion="18" ma:contentTypeDescription="Create a new document." ma:contentTypeScope="" ma:versionID="82fa6b8bbe5aa1e5a147898ce11eee45">
  <xsd:schema xmlns:xsd="http://www.w3.org/2001/XMLSchema" xmlns:xs="http://www.w3.org/2001/XMLSchema" xmlns:p="http://schemas.microsoft.com/office/2006/metadata/properties" xmlns:ns2="4a84e3ec-4587-4418-b23a-bd5009477010" xmlns:ns3="79faf93c-7b46-4b26-8966-6d698e8b4062" targetNamespace="http://schemas.microsoft.com/office/2006/metadata/properties" ma:root="true" ma:fieldsID="4aa8403be6c3a7d49ea4b008b126b62c" ns2:_="" ns3:_="">
    <xsd:import namespace="4a84e3ec-4587-4418-b23a-bd5009477010"/>
    <xsd:import namespace="79faf93c-7b46-4b26-8966-6d698e8b406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84e3ec-4587-4418-b23a-bd50094770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2d0f5a8-1cae-497c-8626-323dd4f94be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faf93c-7b46-4b26-8966-6d698e8b406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2c48bb7-3aca-46f5-8d8e-a282f3998c12}" ma:internalName="TaxCatchAll" ma:showField="CatchAllData" ma:web="79faf93c-7b46-4b26-8966-6d698e8b40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a84e3ec-4587-4418-b23a-bd5009477010">
      <Terms xmlns="http://schemas.microsoft.com/office/infopath/2007/PartnerControls"/>
    </lcf76f155ced4ddcb4097134ff3c332f>
    <TaxCatchAll xmlns="79faf93c-7b46-4b26-8966-6d698e8b4062" xsi:nil="true"/>
  </documentManagement>
</p:properties>
</file>

<file path=customXml/itemProps1.xml><?xml version="1.0" encoding="utf-8"?>
<ds:datastoreItem xmlns:ds="http://schemas.openxmlformats.org/officeDocument/2006/customXml" ds:itemID="{EFA7EE0B-32F3-493A-AC01-B3FF87FCABFA}">
  <ds:schemaRefs>
    <ds:schemaRef ds:uri="http://schemas.microsoft.com/sharepoint/v3/contenttype/forms"/>
  </ds:schemaRefs>
</ds:datastoreItem>
</file>

<file path=customXml/itemProps2.xml><?xml version="1.0" encoding="utf-8"?>
<ds:datastoreItem xmlns:ds="http://schemas.openxmlformats.org/officeDocument/2006/customXml" ds:itemID="{2C925C55-A0BA-4701-8047-F2A308501BD1}">
  <ds:schemaRefs>
    <ds:schemaRef ds:uri="http://schemas.openxmlformats.org/officeDocument/2006/bibliography"/>
  </ds:schemaRefs>
</ds:datastoreItem>
</file>

<file path=customXml/itemProps3.xml><?xml version="1.0" encoding="utf-8"?>
<ds:datastoreItem xmlns:ds="http://schemas.openxmlformats.org/officeDocument/2006/customXml" ds:itemID="{1EB50184-41B0-42B2-A7DA-D09C2D2699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84e3ec-4587-4418-b23a-bd5009477010"/>
    <ds:schemaRef ds:uri="79faf93c-7b46-4b26-8966-6d698e8b40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7714177-B3FF-42BC-83D3-AA25C8642165}">
  <ds:schemaRefs>
    <ds:schemaRef ds:uri="http://schemas.microsoft.com/office/2006/metadata/properties"/>
    <ds:schemaRef ds:uri="http://schemas.microsoft.com/office/infopath/2007/PartnerControls"/>
    <ds:schemaRef ds:uri="4a84e3ec-4587-4418-b23a-bd5009477010"/>
    <ds:schemaRef ds:uri="79faf93c-7b46-4b26-8966-6d698e8b4062"/>
  </ds:schemaRefs>
</ds:datastoreItem>
</file>

<file path=docProps/app.xml><?xml version="1.0" encoding="utf-8"?>
<Properties xmlns="http://schemas.openxmlformats.org/officeDocument/2006/extended-properties" xmlns:vt="http://schemas.openxmlformats.org/officeDocument/2006/docPropsVTypes">
  <Template>.~WRD0001</Template>
  <TotalTime>406</TotalTime>
  <Pages>1</Pages>
  <Words>357</Words>
  <Characters>2040</Characters>
  <Application>Microsoft Office Word</Application>
  <DocSecurity>0</DocSecurity>
  <Lines>17</Lines>
  <Paragraphs>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Marthe Jewell</dc:creator>
  <cp:keywords/>
  <dc:description/>
  <cp:lastModifiedBy>Jim Weller</cp:lastModifiedBy>
  <cp:revision>9</cp:revision>
  <cp:lastPrinted>2024-07-11T00:42:00Z</cp:lastPrinted>
  <dcterms:created xsi:type="dcterms:W3CDTF">2024-06-25T07:41:00Z</dcterms:created>
  <dcterms:modified xsi:type="dcterms:W3CDTF">2024-07-11T03:17:00Z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0x01010004C054142C5B5D4B8C99E9FB10779CAB</vt:lpwstr>
  </property>
  <property fmtid="{D5CDD505-2E9C-101B-9397-08002B2CF9AE}" pid="3" name="MediaServiceImageTags">
    <vt:lpwstr/>
  </property>
</Properties>
</file>