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4EA7" w14:textId="66C71300" w:rsidR="0007757E" w:rsidRPr="00BA2A35" w:rsidRDefault="0007757E" w:rsidP="0007757E">
      <w:pPr>
        <w:spacing w:before="240" w:after="240"/>
        <w:rPr>
          <w:rFonts w:ascii="Times New Roman" w:hAnsi="Times New Roman" w:cs="Times New Roman"/>
          <w:b/>
          <w:bCs/>
          <w:sz w:val="20"/>
          <w:szCs w:val="20"/>
        </w:rPr>
      </w:pPr>
      <w:r w:rsidRPr="00BA2A35">
        <w:rPr>
          <w:rFonts w:ascii="Times New Roman" w:hAnsi="Times New Roman" w:cs="Times New Roman"/>
          <w:b/>
          <w:bCs/>
          <w:sz w:val="20"/>
          <w:szCs w:val="20"/>
        </w:rPr>
        <w:t xml:space="preserve">Advancing </w:t>
      </w:r>
      <w:r w:rsidR="00BA2A35">
        <w:rPr>
          <w:rFonts w:ascii="Times New Roman" w:hAnsi="Times New Roman" w:cs="Times New Roman"/>
          <w:b/>
          <w:bCs/>
          <w:sz w:val="20"/>
          <w:szCs w:val="20"/>
        </w:rPr>
        <w:t>g</w:t>
      </w:r>
      <w:r w:rsidRPr="00BA2A35">
        <w:rPr>
          <w:rFonts w:ascii="Times New Roman" w:hAnsi="Times New Roman" w:cs="Times New Roman"/>
          <w:b/>
          <w:bCs/>
          <w:sz w:val="20"/>
          <w:szCs w:val="20"/>
        </w:rPr>
        <w:t xml:space="preserve">ynecological </w:t>
      </w:r>
      <w:r w:rsidR="00BA2A35">
        <w:rPr>
          <w:rFonts w:ascii="Times New Roman" w:hAnsi="Times New Roman" w:cs="Times New Roman"/>
          <w:b/>
          <w:bCs/>
          <w:sz w:val="20"/>
          <w:szCs w:val="20"/>
        </w:rPr>
        <w:t>t</w:t>
      </w:r>
      <w:r w:rsidRPr="00BA2A35">
        <w:rPr>
          <w:rFonts w:ascii="Times New Roman" w:hAnsi="Times New Roman" w:cs="Times New Roman"/>
          <w:b/>
          <w:bCs/>
          <w:sz w:val="20"/>
          <w:szCs w:val="20"/>
        </w:rPr>
        <w:t xml:space="preserve">herapeutics with QSP Model: </w:t>
      </w:r>
      <w:r w:rsidR="00BA2A35">
        <w:rPr>
          <w:rFonts w:ascii="Times New Roman" w:hAnsi="Times New Roman" w:cs="Times New Roman"/>
          <w:b/>
          <w:bCs/>
          <w:sz w:val="20"/>
          <w:szCs w:val="20"/>
        </w:rPr>
        <w:t>a</w:t>
      </w:r>
      <w:r w:rsidRPr="00BA2A35">
        <w:rPr>
          <w:rFonts w:ascii="Times New Roman" w:hAnsi="Times New Roman" w:cs="Times New Roman"/>
          <w:b/>
          <w:bCs/>
          <w:sz w:val="20"/>
          <w:szCs w:val="20"/>
        </w:rPr>
        <w:t xml:space="preserve">pplications for GnRH </w:t>
      </w:r>
      <w:r w:rsidR="00BA2A35">
        <w:rPr>
          <w:rFonts w:ascii="Times New Roman" w:hAnsi="Times New Roman" w:cs="Times New Roman"/>
          <w:b/>
          <w:bCs/>
          <w:sz w:val="20"/>
          <w:szCs w:val="20"/>
        </w:rPr>
        <w:t>a</w:t>
      </w:r>
      <w:r w:rsidRPr="00BA2A35">
        <w:rPr>
          <w:rFonts w:ascii="Times New Roman" w:hAnsi="Times New Roman" w:cs="Times New Roman"/>
          <w:b/>
          <w:bCs/>
          <w:sz w:val="20"/>
          <w:szCs w:val="20"/>
        </w:rPr>
        <w:t>ntagonist</w:t>
      </w:r>
    </w:p>
    <w:p w14:paraId="36133D07" w14:textId="17BBBF28" w:rsidR="0007757E" w:rsidRDefault="0007757E" w:rsidP="0007757E">
      <w:pPr>
        <w:spacing w:before="240" w:after="240"/>
        <w:rPr>
          <w:rFonts w:ascii="Times New Roman" w:hAnsi="Times New Roman" w:cs="Times New Roman"/>
          <w:sz w:val="20"/>
          <w:szCs w:val="20"/>
        </w:rPr>
      </w:pPr>
      <w:r w:rsidRPr="00BA2A35">
        <w:rPr>
          <w:rFonts w:ascii="Times New Roman" w:hAnsi="Times New Roman" w:cs="Times New Roman"/>
          <w:sz w:val="20"/>
          <w:szCs w:val="20"/>
        </w:rPr>
        <w:t>Jueun Kang¹˒</w:t>
      </w:r>
      <w:r w:rsidRPr="00BA2A35">
        <w:rPr>
          <w:rFonts w:ascii="Times New Roman" w:eastAsia="맑은 고딕" w:hAnsi="Times New Roman" w:cs="Times New Roman"/>
          <w:sz w:val="20"/>
          <w:szCs w:val="20"/>
        </w:rPr>
        <w:t>²</w:t>
      </w:r>
      <w:r w:rsidRPr="00BA2A35">
        <w:rPr>
          <w:rFonts w:ascii="Times New Roman" w:hAnsi="Times New Roman" w:cs="Times New Roman"/>
          <w:sz w:val="20"/>
          <w:szCs w:val="20"/>
        </w:rPr>
        <w:t xml:space="preserve">, Seon Mi Kim⁴, Hun-Teak Kim⁴, </w:t>
      </w:r>
      <w:r w:rsidR="00BA2A35" w:rsidRPr="00BA2A35">
        <w:rPr>
          <w:rFonts w:ascii="Times New Roman" w:hAnsi="Times New Roman" w:cs="Times New Roman"/>
          <w:sz w:val="20"/>
          <w:szCs w:val="20"/>
          <w:lang w:val="en-AU"/>
        </w:rPr>
        <w:t>Suein Choi</w:t>
      </w:r>
      <w:r w:rsidR="00BA2A35" w:rsidRPr="00BA2A35">
        <w:rPr>
          <w:rFonts w:ascii="Times New Roman" w:hAnsi="Times New Roman" w:cs="Times New Roman"/>
          <w:sz w:val="20"/>
          <w:szCs w:val="20"/>
          <w:vertAlign w:val="superscript"/>
          <w:lang w:val="en-AU"/>
        </w:rPr>
        <w:t>1,2</w:t>
      </w:r>
      <w:r w:rsidR="00BA2A35" w:rsidRPr="00BA2A35">
        <w:rPr>
          <w:rFonts w:ascii="Times New Roman" w:hAnsi="Times New Roman" w:cs="Times New Roman"/>
          <w:sz w:val="20"/>
          <w:szCs w:val="20"/>
          <w:lang w:val="en-AU"/>
        </w:rPr>
        <w:t>, Seunghoon Han</w:t>
      </w:r>
      <w:r w:rsidR="00BA2A35" w:rsidRPr="00BA2A35">
        <w:rPr>
          <w:rFonts w:ascii="Times New Roman" w:hAnsi="Times New Roman" w:cs="Times New Roman"/>
          <w:sz w:val="20"/>
          <w:szCs w:val="20"/>
          <w:vertAlign w:val="superscript"/>
          <w:lang w:val="en-AU"/>
        </w:rPr>
        <w:t>1,2</w:t>
      </w:r>
      <w:r w:rsidR="00BA2A35" w:rsidRPr="00BA2A35">
        <w:rPr>
          <w:rFonts w:ascii="Times New Roman" w:hAnsi="Times New Roman" w:cs="Times New Roman"/>
          <w:sz w:val="20"/>
          <w:szCs w:val="20"/>
          <w:lang w:val="en-AU"/>
        </w:rPr>
        <w:t>, Dong-Seok Yim</w:t>
      </w:r>
      <w:r w:rsidR="00BA2A35" w:rsidRPr="00BA2A35">
        <w:rPr>
          <w:rFonts w:ascii="Times New Roman" w:hAnsi="Times New Roman" w:cs="Times New Roman"/>
          <w:sz w:val="20"/>
          <w:szCs w:val="20"/>
          <w:vertAlign w:val="superscript"/>
          <w:lang w:val="en-AU"/>
        </w:rPr>
        <w:t>1,2</w:t>
      </w:r>
      <w:r w:rsidR="00BA2A35" w:rsidRPr="00BA2A35">
        <w:rPr>
          <w:rFonts w:ascii="Times New Roman" w:hAnsi="Times New Roman" w:cs="Times New Roman"/>
          <w:sz w:val="20"/>
          <w:szCs w:val="20"/>
          <w:lang w:val="en-AU"/>
        </w:rPr>
        <w:t xml:space="preserve">, </w:t>
      </w:r>
      <w:r w:rsidRPr="00BA2A35">
        <w:rPr>
          <w:rFonts w:ascii="Times New Roman" w:hAnsi="Times New Roman" w:cs="Times New Roman"/>
          <w:sz w:val="20"/>
          <w:szCs w:val="20"/>
        </w:rPr>
        <w:t>Sungpil Han¹˒</w:t>
      </w:r>
      <w:r w:rsidRPr="00BA2A35">
        <w:rPr>
          <w:rFonts w:ascii="Times New Roman" w:eastAsia="맑은 고딕" w:hAnsi="Times New Roman" w:cs="Times New Roman"/>
          <w:sz w:val="20"/>
          <w:szCs w:val="20"/>
        </w:rPr>
        <w:t>²</w:t>
      </w:r>
      <w:r w:rsidRPr="00BA2A35">
        <w:rPr>
          <w:rFonts w:ascii="Times New Roman" w:hAnsi="Times New Roman" w:cs="Times New Roman"/>
          <w:sz w:val="20"/>
          <w:szCs w:val="20"/>
        </w:rPr>
        <w:t>*</w:t>
      </w:r>
    </w:p>
    <w:p w14:paraId="1A7CC4D5" w14:textId="02DB4DF0" w:rsidR="0007757E" w:rsidRPr="0077184D" w:rsidRDefault="0007757E" w:rsidP="0007757E">
      <w:pPr>
        <w:spacing w:before="240" w:after="240"/>
        <w:rPr>
          <w:rFonts w:ascii="Times New Roman" w:hAnsi="Times New Roman" w:cs="Times New Roman"/>
          <w:sz w:val="20"/>
          <w:szCs w:val="20"/>
        </w:rPr>
      </w:pPr>
      <w:r w:rsidRPr="0077184D">
        <w:rPr>
          <w:rFonts w:ascii="Times New Roman" w:hAnsi="Times New Roman" w:cs="Times New Roman"/>
          <w:sz w:val="20"/>
          <w:szCs w:val="20"/>
        </w:rPr>
        <w:t xml:space="preserve">¹Department of Pharmacology, College of Medicine, The Catholic University of Korea, Seoul, Republic of Korea ²Pharmacometrics Institute for Practical Education and Training (PIPET), College of Medicine, The Catholic University of Korea, Seoul, Republic of Korea </w:t>
      </w:r>
      <w:r w:rsidRPr="0077184D">
        <w:rPr>
          <w:rFonts w:ascii="Times New Roman" w:hAnsi="Times New Roman" w:cs="Times New Roman"/>
          <w:sz w:val="20"/>
          <w:szCs w:val="20"/>
          <w:vertAlign w:val="superscript"/>
        </w:rPr>
        <w:t>3</w:t>
      </w:r>
      <w:r w:rsidRPr="0077184D">
        <w:rPr>
          <w:rFonts w:ascii="Times New Roman" w:hAnsi="Times New Roman" w:cs="Times New Roman"/>
          <w:sz w:val="20"/>
          <w:szCs w:val="20"/>
        </w:rPr>
        <w:t>TiumBio, Seongnam, Republic of Korea</w:t>
      </w:r>
    </w:p>
    <w:p w14:paraId="0F40CCD0" w14:textId="1963889E" w:rsidR="0007757E" w:rsidRPr="0077184D" w:rsidRDefault="0007757E" w:rsidP="0007757E">
      <w:pPr>
        <w:rPr>
          <w:rFonts w:ascii="Times New Roman" w:hAnsi="Times New Roman" w:cs="Times New Roman"/>
          <w:b/>
          <w:bCs/>
          <w:sz w:val="20"/>
          <w:szCs w:val="20"/>
        </w:rPr>
      </w:pPr>
      <w:r w:rsidRPr="0077184D">
        <w:rPr>
          <w:rFonts w:ascii="Times New Roman" w:hAnsi="Times New Roman" w:cs="Times New Roman"/>
          <w:b/>
          <w:bCs/>
          <w:sz w:val="20"/>
          <w:szCs w:val="20"/>
        </w:rPr>
        <w:t>Introduction</w:t>
      </w:r>
    </w:p>
    <w:p w14:paraId="43FDF485" w14:textId="77777777" w:rsidR="0007757E" w:rsidRPr="0077184D" w:rsidRDefault="0007757E" w:rsidP="0007757E">
      <w:pPr>
        <w:rPr>
          <w:rFonts w:ascii="Times New Roman" w:hAnsi="Times New Roman" w:cs="Times New Roman"/>
          <w:sz w:val="20"/>
          <w:szCs w:val="20"/>
        </w:rPr>
      </w:pPr>
      <w:r w:rsidRPr="0077184D">
        <w:rPr>
          <w:rFonts w:ascii="Times New Roman" w:hAnsi="Times New Roman" w:cs="Times New Roman"/>
          <w:sz w:val="20"/>
          <w:szCs w:val="20"/>
        </w:rPr>
        <w:t>Merigolix represents a novel oral nonpeptide GnRH antagonist currently under clinical development for the treatment of endometriosis and uterine fibroids. The development of GnRH antagonists for gynecological therapeutics requires comprehensive understanding of their pharmacological effects on the complex hormonal feedback mechanisms governing the menstrual cycle. Quantitative Systems Pharmacology (QSP) modeling offers a mechanistic approach to elucidate the intricate dynamics of the hypothalamic-pituitary-ovarian (HPO) axis and predict therapeutic responses to hormonal interventions. Such mechanistic modeling is essential for advancing our understanding of drug-induced hormonal modulation and optimizing therapeutic regimens for estrogen-dependent disorders.</w:t>
      </w:r>
    </w:p>
    <w:p w14:paraId="009A6B8F" w14:textId="77777777" w:rsidR="0007757E" w:rsidRPr="0077184D" w:rsidRDefault="0007757E" w:rsidP="0007757E">
      <w:pPr>
        <w:rPr>
          <w:rFonts w:ascii="Times New Roman" w:hAnsi="Times New Roman" w:cs="Times New Roman"/>
          <w:b/>
          <w:bCs/>
          <w:sz w:val="20"/>
          <w:szCs w:val="20"/>
        </w:rPr>
      </w:pPr>
      <w:r w:rsidRPr="0077184D">
        <w:rPr>
          <w:rFonts w:ascii="Times New Roman" w:hAnsi="Times New Roman" w:cs="Times New Roman"/>
          <w:b/>
          <w:bCs/>
          <w:sz w:val="20"/>
          <w:szCs w:val="20"/>
        </w:rPr>
        <w:t>Aims</w:t>
      </w:r>
    </w:p>
    <w:p w14:paraId="3F1D0D3D" w14:textId="77777777" w:rsidR="0007757E" w:rsidRPr="0077184D" w:rsidRDefault="0007757E" w:rsidP="0007757E">
      <w:pPr>
        <w:rPr>
          <w:rFonts w:ascii="Times New Roman" w:hAnsi="Times New Roman" w:cs="Times New Roman"/>
          <w:sz w:val="20"/>
          <w:szCs w:val="20"/>
        </w:rPr>
      </w:pPr>
      <w:r w:rsidRPr="0077184D">
        <w:rPr>
          <w:rFonts w:ascii="Times New Roman" w:hAnsi="Times New Roman" w:cs="Times New Roman"/>
          <w:sz w:val="20"/>
          <w:szCs w:val="20"/>
        </w:rPr>
        <w:t>This study aimed to construct a mechanistic QSP model of the human menstrual cycle to simulate the dynamics of luteinizing hormone (LH), follicle-stimulating hormone (FSH), and estradiol (E2) following merigolix administration. Specifically, we sought to integrate previously developed population pharmacokinetic parameters from phase I clinical data with pharmacodynamic effects on GnRH receptor inhibition within a deterministic QSP framework, enabling prediction of dose-dependent hormonal suppression and elucidation of the pharmacological mechanisms underlying merigolix action.</w:t>
      </w:r>
    </w:p>
    <w:p w14:paraId="5891B128" w14:textId="77777777" w:rsidR="0007757E" w:rsidRPr="0077184D" w:rsidRDefault="0007757E" w:rsidP="0007757E">
      <w:pPr>
        <w:rPr>
          <w:rFonts w:ascii="Times New Roman" w:hAnsi="Times New Roman" w:cs="Times New Roman"/>
          <w:b/>
          <w:bCs/>
          <w:sz w:val="20"/>
          <w:szCs w:val="20"/>
        </w:rPr>
      </w:pPr>
      <w:r w:rsidRPr="0077184D">
        <w:rPr>
          <w:rFonts w:ascii="Times New Roman" w:hAnsi="Times New Roman" w:cs="Times New Roman"/>
          <w:b/>
          <w:bCs/>
          <w:sz w:val="20"/>
          <w:szCs w:val="20"/>
        </w:rPr>
        <w:t>Methods</w:t>
      </w:r>
    </w:p>
    <w:p w14:paraId="68462239" w14:textId="77777777" w:rsidR="0007757E" w:rsidRPr="0077184D" w:rsidRDefault="0007757E" w:rsidP="0007757E">
      <w:pPr>
        <w:rPr>
          <w:rFonts w:ascii="Times New Roman" w:hAnsi="Times New Roman" w:cs="Times New Roman"/>
          <w:sz w:val="20"/>
          <w:szCs w:val="20"/>
        </w:rPr>
      </w:pPr>
      <w:r w:rsidRPr="0077184D">
        <w:rPr>
          <w:rFonts w:ascii="Times New Roman" w:hAnsi="Times New Roman" w:cs="Times New Roman"/>
          <w:sz w:val="20"/>
          <w:szCs w:val="20"/>
        </w:rPr>
        <w:t>A deterministic QSP model framework without delay equations was developed to represent the HPO axis, employing a streamlined approach with fewer differential equations and parameters while maintaining physiological relevance. Population pharmacokinetic parameters previously developed from phase I clinical data were integrated with pharmacodynamic effects on GnRH receptor inhibition. The model framework was designed to capture intricate hormonal feedback loops and ovarian follicular development characteristic of the menstrual cycle. Merigolix-specific pharmacokinetic parameters and pharmacodynamic effects on GnRH receptor inhibition were incorporated into this mechanistic model. All simulations were conducted using the mrgsolve package in R, enabling efficient exploration of dose-response relationships and hormonal dynamics.</w:t>
      </w:r>
    </w:p>
    <w:p w14:paraId="659BC49D" w14:textId="77777777" w:rsidR="0007757E" w:rsidRPr="0077184D" w:rsidRDefault="0007757E" w:rsidP="0007757E">
      <w:pPr>
        <w:rPr>
          <w:rFonts w:ascii="Times New Roman" w:hAnsi="Times New Roman" w:cs="Times New Roman"/>
          <w:b/>
          <w:bCs/>
          <w:sz w:val="20"/>
          <w:szCs w:val="20"/>
        </w:rPr>
      </w:pPr>
      <w:r w:rsidRPr="0077184D">
        <w:rPr>
          <w:rFonts w:ascii="Times New Roman" w:hAnsi="Times New Roman" w:cs="Times New Roman"/>
          <w:b/>
          <w:bCs/>
          <w:sz w:val="20"/>
          <w:szCs w:val="20"/>
        </w:rPr>
        <w:t>Results</w:t>
      </w:r>
    </w:p>
    <w:p w14:paraId="23D2A80F" w14:textId="77777777" w:rsidR="0007757E" w:rsidRPr="0077184D" w:rsidRDefault="0007757E" w:rsidP="0007757E">
      <w:pPr>
        <w:rPr>
          <w:rFonts w:ascii="Times New Roman" w:hAnsi="Times New Roman" w:cs="Times New Roman"/>
          <w:sz w:val="20"/>
          <w:szCs w:val="20"/>
        </w:rPr>
      </w:pPr>
      <w:r w:rsidRPr="0077184D">
        <w:rPr>
          <w:rFonts w:ascii="Times New Roman" w:hAnsi="Times New Roman" w:cs="Times New Roman"/>
          <w:sz w:val="20"/>
          <w:szCs w:val="20"/>
        </w:rPr>
        <w:t>The developed QSP model successfully reproduced the characteristic cyclic patterns of LH, FSH, and E2 observed in healthy premenopausal women, validating the model's ability to represent normal menstrual cycle physiology. Model simulations predicted dose-dependent hormonal suppression induced by merigolix, clearly demonstrating its pharmacological effects on LH, FSH, and E2 suppression within the context of menstrual cycle dynamics. The integrated pharmacokinetic-pharmacodynamic framework effectively elucidated the mechanism of GnRH receptor antagonism and its downstream effects on gonadotropin and estradiol regulation.</w:t>
      </w:r>
    </w:p>
    <w:p w14:paraId="638605F0" w14:textId="77777777" w:rsidR="0007757E" w:rsidRPr="0077184D" w:rsidRDefault="0007757E" w:rsidP="0007757E">
      <w:pPr>
        <w:rPr>
          <w:rFonts w:ascii="Times New Roman" w:hAnsi="Times New Roman" w:cs="Times New Roman"/>
          <w:b/>
          <w:bCs/>
          <w:sz w:val="20"/>
          <w:szCs w:val="20"/>
        </w:rPr>
      </w:pPr>
      <w:r w:rsidRPr="0077184D">
        <w:rPr>
          <w:rFonts w:ascii="Times New Roman" w:hAnsi="Times New Roman" w:cs="Times New Roman"/>
          <w:b/>
          <w:bCs/>
          <w:sz w:val="20"/>
          <w:szCs w:val="20"/>
        </w:rPr>
        <w:t>Discussion</w:t>
      </w:r>
    </w:p>
    <w:p w14:paraId="2768DEC4" w14:textId="0483B617" w:rsidR="00674DA1" w:rsidRPr="0007757E" w:rsidRDefault="0007757E">
      <w:r w:rsidRPr="0077184D">
        <w:rPr>
          <w:rFonts w:ascii="Times New Roman" w:hAnsi="Times New Roman" w:cs="Times New Roman"/>
          <w:sz w:val="20"/>
          <w:szCs w:val="20"/>
        </w:rPr>
        <w:t>This QSP modeling approach provides essential mechanistic insights into the pharmacological actions of merigolix on the HPO axis, significantly enhancing our understanding of GnRH antagonist pharmacodynamics. The successful integration of pharmacokinetic-pharmacodynamic relationships within a mechanistic systems model demonstrates the value of QSP approaches in gynecological therapeutic development. These findings facilitate informed dose optimization and therapeutic regimen design for clinical management of estrogen-dependent disorders, offering a robust framework for translating mechanistic understanding into clinical application. The streamlined modeling approach employed here, utilizing fewer parameters while maintaining physiological relevance, presents a practical tool for advancing the development of GnRH antagonists and related hormonal therapeutics.</w:t>
      </w:r>
    </w:p>
    <w:sectPr w:rsidR="00674DA1" w:rsidRPr="0007757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7E"/>
    <w:rsid w:val="0007757E"/>
    <w:rsid w:val="001F3122"/>
    <w:rsid w:val="00305231"/>
    <w:rsid w:val="004037AB"/>
    <w:rsid w:val="00674DA1"/>
    <w:rsid w:val="0077184D"/>
    <w:rsid w:val="007862EA"/>
    <w:rsid w:val="007B7B7C"/>
    <w:rsid w:val="00B17132"/>
    <w:rsid w:val="00BA2A35"/>
    <w:rsid w:val="00E35D2C"/>
    <w:rsid w:val="00EE4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258F"/>
  <w15:chartTrackingRefBased/>
  <w15:docId w15:val="{6159A59C-DAD0-4A36-8A0E-789C19BD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775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775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775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775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775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775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775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775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775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7757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7757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7757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7757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7757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7757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7757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7757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7757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7757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775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7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7757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7757E"/>
    <w:pPr>
      <w:spacing w:before="160"/>
      <w:jc w:val="center"/>
    </w:pPr>
    <w:rPr>
      <w:i/>
      <w:iCs/>
      <w:color w:val="404040" w:themeColor="text1" w:themeTint="BF"/>
    </w:rPr>
  </w:style>
  <w:style w:type="character" w:customStyle="1" w:styleId="Char1">
    <w:name w:val="인용 Char"/>
    <w:basedOn w:val="a0"/>
    <w:link w:val="a5"/>
    <w:uiPriority w:val="29"/>
    <w:rsid w:val="0007757E"/>
    <w:rPr>
      <w:i/>
      <w:iCs/>
      <w:color w:val="404040" w:themeColor="text1" w:themeTint="BF"/>
    </w:rPr>
  </w:style>
  <w:style w:type="paragraph" w:styleId="a6">
    <w:name w:val="List Paragraph"/>
    <w:basedOn w:val="a"/>
    <w:uiPriority w:val="34"/>
    <w:qFormat/>
    <w:rsid w:val="0007757E"/>
    <w:pPr>
      <w:ind w:left="720"/>
      <w:contextualSpacing/>
    </w:pPr>
  </w:style>
  <w:style w:type="character" w:styleId="a7">
    <w:name w:val="Intense Emphasis"/>
    <w:basedOn w:val="a0"/>
    <w:uiPriority w:val="21"/>
    <w:qFormat/>
    <w:rsid w:val="0007757E"/>
    <w:rPr>
      <w:i/>
      <w:iCs/>
      <w:color w:val="0F4761" w:themeColor="accent1" w:themeShade="BF"/>
    </w:rPr>
  </w:style>
  <w:style w:type="paragraph" w:styleId="a8">
    <w:name w:val="Intense Quote"/>
    <w:basedOn w:val="a"/>
    <w:next w:val="a"/>
    <w:link w:val="Char2"/>
    <w:uiPriority w:val="30"/>
    <w:qFormat/>
    <w:rsid w:val="00077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7757E"/>
    <w:rPr>
      <w:i/>
      <w:iCs/>
      <w:color w:val="0F4761" w:themeColor="accent1" w:themeShade="BF"/>
    </w:rPr>
  </w:style>
  <w:style w:type="character" w:styleId="a9">
    <w:name w:val="Intense Reference"/>
    <w:basedOn w:val="a0"/>
    <w:uiPriority w:val="32"/>
    <w:qFormat/>
    <w:rsid w:val="00077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3745</Characters>
  <Application>Microsoft Office Word</Application>
  <DocSecurity>0</DocSecurity>
  <Lines>58</Lines>
  <Paragraphs>26</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강주은</dc:creator>
  <cp:keywords/>
  <dc:description/>
  <cp:lastModifiedBy>Sungpil Han</cp:lastModifiedBy>
  <cp:revision>3</cp:revision>
  <dcterms:created xsi:type="dcterms:W3CDTF">2026-01-20T08:49:00Z</dcterms:created>
  <dcterms:modified xsi:type="dcterms:W3CDTF">2026-02-13T10:48:00Z</dcterms:modified>
</cp:coreProperties>
</file>