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2C07" w14:textId="77777777" w:rsidR="0065135F" w:rsidRPr="00332541" w:rsidRDefault="0065135F" w:rsidP="0065135F">
      <w:pPr>
        <w:jc w:val="both"/>
        <w:rPr>
          <w:rFonts w:cstheme="minorHAnsi"/>
          <w:b/>
          <w:bCs/>
          <w:spacing w:val="-2"/>
          <w:sz w:val="20"/>
          <w:szCs w:val="20"/>
        </w:rPr>
      </w:pPr>
      <w:r w:rsidRPr="00332541">
        <w:rPr>
          <w:rFonts w:cstheme="minorHAnsi"/>
          <w:b/>
          <w:bCs/>
          <w:spacing w:val="-2"/>
          <w:sz w:val="20"/>
          <w:szCs w:val="20"/>
        </w:rPr>
        <w:t xml:space="preserve">Mutations in the </w:t>
      </w:r>
      <w:r w:rsidRPr="00332541">
        <w:rPr>
          <w:rFonts w:cstheme="minorHAnsi"/>
          <w:b/>
          <w:bCs/>
          <w:i/>
          <w:spacing w:val="-2"/>
          <w:sz w:val="20"/>
          <w:szCs w:val="20"/>
        </w:rPr>
        <w:t xml:space="preserve">AFB4/5 </w:t>
      </w:r>
      <w:r w:rsidRPr="00332541">
        <w:rPr>
          <w:rFonts w:cstheme="minorHAnsi"/>
          <w:b/>
          <w:bCs/>
          <w:spacing w:val="-2"/>
          <w:sz w:val="20"/>
          <w:szCs w:val="20"/>
        </w:rPr>
        <w:t>auxin receptor</w:t>
      </w:r>
      <w:r w:rsidR="00A93F65" w:rsidRPr="00332541">
        <w:rPr>
          <w:rFonts w:cstheme="minorHAnsi"/>
          <w:b/>
          <w:bCs/>
          <w:spacing w:val="-2"/>
          <w:sz w:val="20"/>
          <w:szCs w:val="20"/>
        </w:rPr>
        <w:t xml:space="preserve"> gene confer altered shoot architecture and improved grain yield in field pea (</w:t>
      </w:r>
      <w:r w:rsidR="00A93F65" w:rsidRPr="00332541">
        <w:rPr>
          <w:rFonts w:cstheme="minorHAnsi"/>
          <w:b/>
          <w:bCs/>
          <w:i/>
          <w:spacing w:val="-2"/>
          <w:sz w:val="20"/>
          <w:szCs w:val="20"/>
        </w:rPr>
        <w:t>Pisum sativum</w:t>
      </w:r>
      <w:r w:rsidR="00A93F65" w:rsidRPr="00332541">
        <w:rPr>
          <w:rFonts w:cstheme="minorHAnsi"/>
          <w:b/>
          <w:bCs/>
          <w:spacing w:val="-2"/>
          <w:sz w:val="20"/>
          <w:szCs w:val="20"/>
        </w:rPr>
        <w:t>)</w:t>
      </w:r>
    </w:p>
    <w:p w14:paraId="6214F38A" w14:textId="77777777" w:rsidR="0065135F" w:rsidRPr="00332541" w:rsidRDefault="0065135F" w:rsidP="0065135F">
      <w:pPr>
        <w:jc w:val="both"/>
        <w:rPr>
          <w:rFonts w:cstheme="minorHAnsi"/>
          <w:b/>
          <w:bCs/>
          <w:spacing w:val="-2"/>
          <w:sz w:val="20"/>
          <w:szCs w:val="20"/>
        </w:rPr>
      </w:pPr>
    </w:p>
    <w:p w14:paraId="58CFDDA8" w14:textId="77777777" w:rsidR="0065135F" w:rsidRPr="00332541" w:rsidRDefault="0065135F" w:rsidP="0065135F">
      <w:pPr>
        <w:jc w:val="both"/>
        <w:rPr>
          <w:rFonts w:cstheme="minorHAnsi"/>
          <w:spacing w:val="-2"/>
          <w:sz w:val="20"/>
          <w:szCs w:val="20"/>
          <w:vertAlign w:val="superscript"/>
        </w:rPr>
      </w:pPr>
      <w:r w:rsidRPr="00332541">
        <w:rPr>
          <w:rFonts w:cstheme="minorHAnsi"/>
          <w:b/>
          <w:bCs/>
          <w:spacing w:val="-2"/>
          <w:sz w:val="20"/>
          <w:szCs w:val="20"/>
        </w:rPr>
        <w:t>Simon Michelmore</w:t>
      </w:r>
      <w:r w:rsidRPr="00332541">
        <w:rPr>
          <w:rFonts w:cstheme="minorHAnsi"/>
          <w:spacing w:val="-2"/>
          <w:sz w:val="20"/>
          <w:szCs w:val="20"/>
          <w:vertAlign w:val="superscript"/>
        </w:rPr>
        <w:t>1,2</w:t>
      </w:r>
      <w:r w:rsidRPr="00332541">
        <w:rPr>
          <w:rFonts w:cstheme="minorHAnsi"/>
          <w:spacing w:val="-2"/>
          <w:sz w:val="20"/>
          <w:szCs w:val="20"/>
        </w:rPr>
        <w:t>, Philip Brewer</w:t>
      </w:r>
      <w:r w:rsidRPr="00332541">
        <w:rPr>
          <w:rFonts w:cstheme="minorHAnsi"/>
          <w:spacing w:val="-2"/>
          <w:sz w:val="20"/>
          <w:szCs w:val="20"/>
          <w:vertAlign w:val="superscript"/>
        </w:rPr>
        <w:t>2,3</w:t>
      </w:r>
      <w:r w:rsidRPr="00332541">
        <w:rPr>
          <w:rFonts w:cstheme="minorHAnsi"/>
          <w:spacing w:val="-2"/>
          <w:sz w:val="20"/>
          <w:szCs w:val="20"/>
        </w:rPr>
        <w:t>, Tim Sutton</w:t>
      </w:r>
      <w:r w:rsidRPr="00332541">
        <w:rPr>
          <w:rFonts w:cstheme="minorHAnsi"/>
          <w:spacing w:val="-2"/>
          <w:sz w:val="20"/>
          <w:szCs w:val="20"/>
          <w:vertAlign w:val="superscript"/>
        </w:rPr>
        <w:t>1,2</w:t>
      </w:r>
      <w:r w:rsidRPr="00332541">
        <w:rPr>
          <w:rFonts w:cstheme="minorHAnsi"/>
          <w:spacing w:val="-2"/>
          <w:sz w:val="20"/>
          <w:szCs w:val="20"/>
        </w:rPr>
        <w:t>, and Matthew Tucker</w:t>
      </w:r>
      <w:r w:rsidRPr="00332541">
        <w:rPr>
          <w:rFonts w:cstheme="minorHAnsi"/>
          <w:spacing w:val="-2"/>
          <w:sz w:val="20"/>
          <w:szCs w:val="20"/>
          <w:vertAlign w:val="superscript"/>
        </w:rPr>
        <w:t>2</w:t>
      </w:r>
    </w:p>
    <w:p w14:paraId="39775EC8" w14:textId="77777777" w:rsidR="0065135F" w:rsidRPr="00332541" w:rsidRDefault="0065135F" w:rsidP="006513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32541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32541">
        <w:rPr>
          <w:rStyle w:val="normaltextrun"/>
          <w:rFonts w:asciiTheme="minorHAnsi" w:hAnsiTheme="minorHAnsi" w:cstheme="minorHAnsi"/>
          <w:sz w:val="20"/>
          <w:szCs w:val="20"/>
        </w:rPr>
        <w:t>South Australian Research and Development Institute, Adelaide, South Australia, Australia</w:t>
      </w:r>
      <w:r w:rsidRPr="00332541">
        <w:rPr>
          <w:rStyle w:val="scxw51472669"/>
          <w:rFonts w:asciiTheme="minorHAnsi" w:hAnsiTheme="minorHAnsi" w:cstheme="minorHAnsi"/>
          <w:sz w:val="20"/>
          <w:szCs w:val="20"/>
        </w:rPr>
        <w:t> </w:t>
      </w:r>
      <w:r w:rsidRPr="00332541">
        <w:rPr>
          <w:rFonts w:asciiTheme="minorHAnsi" w:hAnsiTheme="minorHAnsi" w:cstheme="minorHAnsi"/>
          <w:sz w:val="20"/>
          <w:szCs w:val="20"/>
        </w:rPr>
        <w:br/>
      </w:r>
      <w:r w:rsidRPr="00332541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32541">
        <w:rPr>
          <w:rStyle w:val="normaltextrun"/>
          <w:rFonts w:asciiTheme="minorHAnsi" w:hAnsiTheme="minorHAnsi" w:cstheme="minorHAnsi"/>
          <w:sz w:val="20"/>
          <w:szCs w:val="20"/>
        </w:rPr>
        <w:t>Waite Research Institute and School of Agriculture, Food and Wine, The University of Adelaide, Urrbrae, South Australia, 5064, Australia</w:t>
      </w:r>
      <w:r w:rsidRPr="0033254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37BF5F3" w14:textId="77777777" w:rsidR="0065135F" w:rsidRPr="00332541" w:rsidRDefault="0065135F" w:rsidP="006513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332541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3</w:t>
      </w:r>
      <w:r w:rsidRPr="00332541">
        <w:rPr>
          <w:rStyle w:val="normaltextrun"/>
          <w:rFonts w:asciiTheme="minorHAnsi" w:hAnsiTheme="minorHAnsi" w:cstheme="minorHAnsi"/>
          <w:sz w:val="20"/>
          <w:szCs w:val="20"/>
        </w:rPr>
        <w:t>School of Health, Medical and Applied Sciences, Central Queensland University, Queensland, Australia</w:t>
      </w:r>
      <w:r w:rsidRPr="0033254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973635" w14:textId="77777777" w:rsidR="0065135F" w:rsidRPr="00332541" w:rsidRDefault="0065135F" w:rsidP="006513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646A731" w14:textId="1808DFC9" w:rsidR="00000000" w:rsidRPr="00332541" w:rsidRDefault="003B2831" w:rsidP="005556BE">
      <w:pPr>
        <w:spacing w:after="80"/>
        <w:jc w:val="both"/>
        <w:rPr>
          <w:rFonts w:cstheme="minorHAnsi"/>
          <w:spacing w:val="-5"/>
          <w:sz w:val="20"/>
          <w:szCs w:val="20"/>
        </w:rPr>
      </w:pPr>
      <w:bookmarkStart w:id="0" w:name="_Hlk166856338"/>
      <w:r w:rsidRPr="00332541">
        <w:rPr>
          <w:rFonts w:cstheme="minorHAnsi"/>
          <w:spacing w:val="-5"/>
          <w:sz w:val="20"/>
          <w:szCs w:val="20"/>
        </w:rPr>
        <w:t>Hormonal regulation of plant architecture is a fundamental component of how plants respond to their environment to optimise resource capture and ensure their survival in the face of biotic and abiotic stress.</w:t>
      </w:r>
      <w:r w:rsidR="00054ACC" w:rsidRPr="00332541">
        <w:rPr>
          <w:rFonts w:cstheme="minorHAnsi"/>
          <w:spacing w:val="-5"/>
          <w:sz w:val="20"/>
          <w:szCs w:val="20"/>
        </w:rPr>
        <w:t xml:space="preserve"> </w:t>
      </w:r>
      <w:r w:rsidRPr="00332541">
        <w:rPr>
          <w:rFonts w:cstheme="minorHAnsi"/>
          <w:spacing w:val="-5"/>
          <w:sz w:val="20"/>
          <w:szCs w:val="20"/>
        </w:rPr>
        <w:t xml:space="preserve">We recently identified a series of </w:t>
      </w:r>
      <w:r w:rsidR="005556BE" w:rsidRPr="00332541">
        <w:rPr>
          <w:rFonts w:cstheme="minorHAnsi"/>
          <w:spacing w:val="-5"/>
          <w:sz w:val="20"/>
          <w:szCs w:val="20"/>
        </w:rPr>
        <w:t>herbicide tolerant field pea (</w:t>
      </w:r>
      <w:r w:rsidR="005556BE" w:rsidRPr="00332541">
        <w:rPr>
          <w:rFonts w:cstheme="minorHAnsi"/>
          <w:i/>
          <w:spacing w:val="-5"/>
          <w:sz w:val="20"/>
          <w:szCs w:val="20"/>
        </w:rPr>
        <w:t xml:space="preserve">Pisum </w:t>
      </w:r>
      <w:r w:rsidR="005556BE" w:rsidRPr="00332541">
        <w:rPr>
          <w:rFonts w:cstheme="minorHAnsi"/>
          <w:spacing w:val="-5"/>
          <w:sz w:val="20"/>
          <w:szCs w:val="20"/>
        </w:rPr>
        <w:t>sativum) lines with</w:t>
      </w:r>
      <w:r w:rsidRPr="00332541">
        <w:rPr>
          <w:rFonts w:cstheme="minorHAnsi"/>
          <w:spacing w:val="-5"/>
          <w:sz w:val="20"/>
          <w:szCs w:val="20"/>
        </w:rPr>
        <w:t xml:space="preserve"> mutations in</w:t>
      </w:r>
      <w:r w:rsidR="005556BE" w:rsidRPr="00332541">
        <w:rPr>
          <w:rFonts w:cstheme="minorHAnsi"/>
          <w:spacing w:val="-5"/>
          <w:sz w:val="20"/>
          <w:szCs w:val="20"/>
        </w:rPr>
        <w:t xml:space="preserve"> an</w:t>
      </w:r>
      <w:r w:rsidRPr="00332541">
        <w:rPr>
          <w:rFonts w:cstheme="minorHAnsi"/>
          <w:spacing w:val="-5"/>
          <w:sz w:val="20"/>
          <w:szCs w:val="20"/>
        </w:rPr>
        <w:t xml:space="preserve"> auxin receptor</w:t>
      </w:r>
      <w:r w:rsidR="005556BE" w:rsidRPr="00332541">
        <w:rPr>
          <w:rFonts w:cstheme="minorHAnsi"/>
          <w:spacing w:val="-5"/>
          <w:sz w:val="20"/>
          <w:szCs w:val="20"/>
        </w:rPr>
        <w:t xml:space="preserve">, </w:t>
      </w:r>
      <w:r w:rsidR="005556BE" w:rsidRPr="00332541">
        <w:rPr>
          <w:rFonts w:cstheme="minorHAnsi"/>
          <w:iCs/>
          <w:spacing w:val="-5"/>
          <w:sz w:val="20"/>
          <w:szCs w:val="20"/>
        </w:rPr>
        <w:t>AUXIN SIGNALLING F-BOX PROTEIN 4/</w:t>
      </w:r>
      <w:r w:rsidR="005556BE" w:rsidRPr="00332541">
        <w:rPr>
          <w:rFonts w:cstheme="minorHAnsi"/>
          <w:spacing w:val="-5"/>
          <w:sz w:val="20"/>
          <w:szCs w:val="20"/>
        </w:rPr>
        <w:t>5 (</w:t>
      </w:r>
      <w:r w:rsidR="005556BE" w:rsidRPr="00332541">
        <w:rPr>
          <w:rFonts w:cstheme="minorHAnsi"/>
          <w:iCs/>
          <w:spacing w:val="-5"/>
          <w:sz w:val="20"/>
          <w:szCs w:val="20"/>
        </w:rPr>
        <w:t>AFB4/</w:t>
      </w:r>
      <w:r w:rsidR="005556BE" w:rsidRPr="00332541">
        <w:rPr>
          <w:rFonts w:cstheme="minorHAnsi"/>
          <w:spacing w:val="-5"/>
          <w:sz w:val="20"/>
          <w:szCs w:val="20"/>
        </w:rPr>
        <w:t xml:space="preserve">5). </w:t>
      </w:r>
      <w:r w:rsidR="00054ACC" w:rsidRPr="00332541">
        <w:rPr>
          <w:rFonts w:cstheme="minorHAnsi"/>
          <w:spacing w:val="-5"/>
          <w:sz w:val="20"/>
          <w:szCs w:val="20"/>
        </w:rPr>
        <w:t>Alongside</w:t>
      </w:r>
      <w:r w:rsidR="005556BE" w:rsidRPr="00332541">
        <w:rPr>
          <w:rFonts w:cstheme="minorHAnsi"/>
          <w:spacing w:val="-5"/>
          <w:sz w:val="20"/>
          <w:szCs w:val="20"/>
        </w:rPr>
        <w:t xml:space="preserve"> offering new weed management options, the mutants </w:t>
      </w:r>
      <w:r w:rsidR="00054ACC" w:rsidRPr="00332541">
        <w:rPr>
          <w:rFonts w:cstheme="minorHAnsi"/>
          <w:spacing w:val="-5"/>
          <w:sz w:val="20"/>
          <w:szCs w:val="20"/>
        </w:rPr>
        <w:t>had</w:t>
      </w:r>
      <w:r w:rsidR="005556BE" w:rsidRPr="00332541">
        <w:rPr>
          <w:rFonts w:cstheme="minorHAnsi"/>
          <w:spacing w:val="-5"/>
          <w:sz w:val="20"/>
          <w:szCs w:val="20"/>
        </w:rPr>
        <w:t xml:space="preserve"> unusual plant growth and development phenotypes.</w:t>
      </w:r>
      <w:r w:rsidR="008F10F5" w:rsidRPr="00332541">
        <w:rPr>
          <w:rFonts w:cstheme="minorHAnsi"/>
          <w:spacing w:val="-5"/>
          <w:sz w:val="20"/>
          <w:szCs w:val="20"/>
        </w:rPr>
        <w:t xml:space="preserve"> </w:t>
      </w:r>
      <w:r w:rsidR="00A12D94" w:rsidRPr="00332541">
        <w:rPr>
          <w:rFonts w:cstheme="minorHAnsi"/>
          <w:sz w:val="20"/>
          <w:szCs w:val="20"/>
        </w:rPr>
        <w:t>S</w:t>
      </w:r>
      <w:r w:rsidR="00EF1584" w:rsidRPr="00332541">
        <w:rPr>
          <w:rFonts w:cstheme="minorHAnsi"/>
          <w:sz w:val="20"/>
          <w:szCs w:val="20"/>
        </w:rPr>
        <w:t>ubstantial phenotypic variation</w:t>
      </w:r>
      <w:r w:rsidR="00A12D94" w:rsidRPr="00332541">
        <w:rPr>
          <w:rFonts w:cstheme="minorHAnsi"/>
          <w:sz w:val="20"/>
          <w:szCs w:val="20"/>
        </w:rPr>
        <w:t xml:space="preserve"> was observed</w:t>
      </w:r>
      <w:r w:rsidR="00EF1584" w:rsidRPr="00332541">
        <w:rPr>
          <w:rFonts w:cstheme="minorHAnsi"/>
          <w:sz w:val="20"/>
          <w:szCs w:val="20"/>
        </w:rPr>
        <w:t xml:space="preserve"> for </w:t>
      </w:r>
      <w:r w:rsidR="008F10F5" w:rsidRPr="00332541">
        <w:rPr>
          <w:rFonts w:cstheme="minorHAnsi"/>
          <w:sz w:val="20"/>
          <w:szCs w:val="20"/>
        </w:rPr>
        <w:t>shoot</w:t>
      </w:r>
      <w:r w:rsidR="007815C2" w:rsidRPr="00332541">
        <w:rPr>
          <w:rFonts w:cstheme="minorHAnsi"/>
          <w:sz w:val="20"/>
          <w:szCs w:val="20"/>
        </w:rPr>
        <w:t xml:space="preserve"> architecture</w:t>
      </w:r>
      <w:r w:rsidR="00EF1584" w:rsidRPr="00332541">
        <w:rPr>
          <w:rFonts w:cstheme="minorHAnsi"/>
          <w:sz w:val="20"/>
          <w:szCs w:val="20"/>
        </w:rPr>
        <w:t>, seed size</w:t>
      </w:r>
      <w:r w:rsidR="00A12D94" w:rsidRPr="00332541">
        <w:rPr>
          <w:rFonts w:cstheme="minorHAnsi"/>
          <w:sz w:val="20"/>
          <w:szCs w:val="20"/>
        </w:rPr>
        <w:t>,</w:t>
      </w:r>
      <w:r w:rsidR="00EF1584" w:rsidRPr="00332541">
        <w:rPr>
          <w:rFonts w:cstheme="minorHAnsi"/>
          <w:sz w:val="20"/>
          <w:szCs w:val="20"/>
        </w:rPr>
        <w:t xml:space="preserve"> and phenology between different </w:t>
      </w:r>
      <w:r w:rsidR="00EF1584" w:rsidRPr="00332541">
        <w:rPr>
          <w:rFonts w:cstheme="minorHAnsi"/>
          <w:i/>
          <w:iCs/>
          <w:sz w:val="20"/>
          <w:szCs w:val="20"/>
        </w:rPr>
        <w:t>afb4/5</w:t>
      </w:r>
      <w:r w:rsidR="00EF1584" w:rsidRPr="00332541">
        <w:rPr>
          <w:rFonts w:cstheme="minorHAnsi"/>
          <w:sz w:val="20"/>
          <w:szCs w:val="20"/>
        </w:rPr>
        <w:t xml:space="preserve"> alleles.</w:t>
      </w:r>
      <w:r w:rsidR="00A12D94" w:rsidRPr="00332541">
        <w:rPr>
          <w:rFonts w:cstheme="minorHAnsi"/>
          <w:sz w:val="20"/>
          <w:szCs w:val="20"/>
        </w:rPr>
        <w:t xml:space="preserve"> </w:t>
      </w:r>
      <w:r w:rsidR="0087273C" w:rsidRPr="00332541">
        <w:rPr>
          <w:rFonts w:cstheme="minorHAnsi"/>
          <w:i/>
          <w:sz w:val="20"/>
          <w:szCs w:val="20"/>
        </w:rPr>
        <w:t>AFB4/5</w:t>
      </w:r>
      <w:r w:rsidR="0087273C" w:rsidRPr="00332541">
        <w:rPr>
          <w:rFonts w:cstheme="minorHAnsi"/>
          <w:sz w:val="20"/>
          <w:szCs w:val="20"/>
        </w:rPr>
        <w:t xml:space="preserve"> </w:t>
      </w:r>
      <w:r w:rsidR="00054ACC" w:rsidRPr="00332541">
        <w:rPr>
          <w:rFonts w:cstheme="minorHAnsi"/>
          <w:sz w:val="20"/>
          <w:szCs w:val="20"/>
        </w:rPr>
        <w:t xml:space="preserve">played a role </w:t>
      </w:r>
      <w:r w:rsidR="0087273C" w:rsidRPr="00332541">
        <w:rPr>
          <w:rFonts w:cstheme="minorHAnsi"/>
          <w:sz w:val="20"/>
          <w:szCs w:val="20"/>
        </w:rPr>
        <w:t>in seed size determination and grain yield potential. While null mutants</w:t>
      </w:r>
      <w:r w:rsidR="000C55C0" w:rsidRPr="00332541">
        <w:rPr>
          <w:rFonts w:cstheme="minorHAnsi"/>
          <w:sz w:val="20"/>
          <w:szCs w:val="20"/>
        </w:rPr>
        <w:t xml:space="preserve"> were severely dwarfed, hyper-branched, </w:t>
      </w:r>
      <w:r w:rsidR="00054ACC" w:rsidRPr="00332541">
        <w:rPr>
          <w:rFonts w:cstheme="minorHAnsi"/>
          <w:sz w:val="20"/>
          <w:szCs w:val="20"/>
        </w:rPr>
        <w:t>and exhibited</w:t>
      </w:r>
      <w:r w:rsidR="0087273C" w:rsidRPr="00332541">
        <w:rPr>
          <w:rFonts w:cstheme="minorHAnsi"/>
          <w:sz w:val="20"/>
          <w:szCs w:val="20"/>
        </w:rPr>
        <w:t xml:space="preserve"> reduced seed size and yield, a unique hypomorphic mutant had a</w:t>
      </w:r>
      <w:r w:rsidR="000C55C0" w:rsidRPr="00332541">
        <w:rPr>
          <w:rFonts w:cstheme="minorHAnsi"/>
          <w:sz w:val="20"/>
          <w:szCs w:val="20"/>
        </w:rPr>
        <w:t xml:space="preserve"> moderate effect on plant architecture and</w:t>
      </w:r>
      <w:r w:rsidR="00054ACC" w:rsidRPr="00332541">
        <w:rPr>
          <w:rFonts w:cstheme="minorHAnsi"/>
          <w:sz w:val="20"/>
          <w:szCs w:val="20"/>
        </w:rPr>
        <w:t xml:space="preserve"> </w:t>
      </w:r>
      <w:r w:rsidR="0087273C" w:rsidRPr="00332541">
        <w:rPr>
          <w:rFonts w:cstheme="minorHAnsi"/>
          <w:sz w:val="20"/>
          <w:szCs w:val="20"/>
        </w:rPr>
        <w:t>increase</w:t>
      </w:r>
      <w:r w:rsidR="00054ACC" w:rsidRPr="00332541">
        <w:rPr>
          <w:rFonts w:cstheme="minorHAnsi"/>
          <w:sz w:val="20"/>
          <w:szCs w:val="20"/>
        </w:rPr>
        <w:t>d</w:t>
      </w:r>
      <w:r w:rsidR="0087273C" w:rsidRPr="00332541">
        <w:rPr>
          <w:rFonts w:cstheme="minorHAnsi"/>
          <w:sz w:val="20"/>
          <w:szCs w:val="20"/>
        </w:rPr>
        <w:t xml:space="preserve"> seed size</w:t>
      </w:r>
      <w:r w:rsidR="000C55C0" w:rsidRPr="00332541">
        <w:rPr>
          <w:rFonts w:cstheme="minorHAnsi"/>
          <w:sz w:val="20"/>
          <w:szCs w:val="20"/>
        </w:rPr>
        <w:t xml:space="preserve"> and yield. Field trials </w:t>
      </w:r>
      <w:r w:rsidR="008F10F5" w:rsidRPr="00332541">
        <w:rPr>
          <w:rFonts w:cstheme="minorHAnsi"/>
          <w:sz w:val="20"/>
          <w:szCs w:val="20"/>
        </w:rPr>
        <w:t xml:space="preserve">in South </w:t>
      </w:r>
      <w:r w:rsidR="00054ACC" w:rsidRPr="00332541">
        <w:rPr>
          <w:rFonts w:cstheme="minorHAnsi"/>
          <w:sz w:val="20"/>
          <w:szCs w:val="20"/>
        </w:rPr>
        <w:t>demonstrated</w:t>
      </w:r>
      <w:r w:rsidR="008F10F5" w:rsidRPr="00332541">
        <w:rPr>
          <w:rFonts w:cstheme="minorHAnsi"/>
          <w:sz w:val="20"/>
          <w:szCs w:val="20"/>
        </w:rPr>
        <w:t xml:space="preserve"> </w:t>
      </w:r>
      <w:r w:rsidR="000C55C0" w:rsidRPr="00332541">
        <w:rPr>
          <w:rFonts w:cstheme="minorHAnsi"/>
          <w:sz w:val="20"/>
          <w:szCs w:val="20"/>
        </w:rPr>
        <w:t xml:space="preserve">27.5% increase in grain yield in a long-season, high-rainfall environment, and no yield penalty in a short-season, low-medium rainfall environment. </w:t>
      </w:r>
    </w:p>
    <w:p w14:paraId="5F88ACD5" w14:textId="24DE137F" w:rsidR="0065135F" w:rsidRPr="00332541" w:rsidRDefault="00054ACC" w:rsidP="005556BE">
      <w:pPr>
        <w:spacing w:after="80"/>
        <w:jc w:val="both"/>
        <w:rPr>
          <w:rFonts w:cstheme="minorHAnsi"/>
          <w:sz w:val="20"/>
          <w:szCs w:val="20"/>
        </w:rPr>
      </w:pPr>
      <w:r w:rsidRPr="00332541">
        <w:rPr>
          <w:rFonts w:cstheme="minorHAnsi"/>
          <w:sz w:val="20"/>
          <w:szCs w:val="20"/>
        </w:rPr>
        <w:t>There is clear</w:t>
      </w:r>
      <w:r w:rsidR="0065135F" w:rsidRPr="00332541">
        <w:rPr>
          <w:rFonts w:cstheme="minorHAnsi"/>
          <w:sz w:val="20"/>
          <w:szCs w:val="20"/>
        </w:rPr>
        <w:t xml:space="preserve"> opportunity to target genes in hormone signalling pathways to develop a new crop ideotype for field pea </w:t>
      </w:r>
      <w:r w:rsidRPr="00332541">
        <w:rPr>
          <w:rFonts w:cstheme="minorHAnsi"/>
          <w:sz w:val="20"/>
          <w:szCs w:val="20"/>
        </w:rPr>
        <w:t>and potentially other species to provide a</w:t>
      </w:r>
      <w:r w:rsidR="0065135F" w:rsidRPr="00332541">
        <w:rPr>
          <w:rFonts w:cstheme="minorHAnsi"/>
          <w:sz w:val="20"/>
          <w:szCs w:val="20"/>
        </w:rPr>
        <w:t xml:space="preserve"> step change in grain yield potential. </w:t>
      </w:r>
      <w:bookmarkEnd w:id="0"/>
    </w:p>
    <w:sectPr w:rsidR="0065135F" w:rsidRPr="0033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84"/>
    <w:rsid w:val="00054ACC"/>
    <w:rsid w:val="000C55C0"/>
    <w:rsid w:val="002566B5"/>
    <w:rsid w:val="002D78BB"/>
    <w:rsid w:val="00332541"/>
    <w:rsid w:val="003B2831"/>
    <w:rsid w:val="00523A36"/>
    <w:rsid w:val="005556BE"/>
    <w:rsid w:val="005C5309"/>
    <w:rsid w:val="0065135F"/>
    <w:rsid w:val="00741320"/>
    <w:rsid w:val="007815C2"/>
    <w:rsid w:val="007C0BD6"/>
    <w:rsid w:val="0087273C"/>
    <w:rsid w:val="008F10F5"/>
    <w:rsid w:val="00A12D94"/>
    <w:rsid w:val="00A93F65"/>
    <w:rsid w:val="00E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F765"/>
  <w15:chartTrackingRefBased/>
  <w15:docId w15:val="{3BF70E2F-576A-4D47-980E-A7F9637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84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5135F"/>
  </w:style>
  <w:style w:type="character" w:customStyle="1" w:styleId="scxw51472669">
    <w:name w:val="scxw51472669"/>
    <w:basedOn w:val="DefaultParagraphFont"/>
    <w:rsid w:val="0065135F"/>
  </w:style>
  <w:style w:type="character" w:customStyle="1" w:styleId="eop">
    <w:name w:val="eop"/>
    <w:basedOn w:val="DefaultParagraphFont"/>
    <w:rsid w:val="0065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1562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Frederick Michelmore</dc:creator>
  <cp:keywords/>
  <dc:description/>
  <cp:lastModifiedBy>Croser, Janine (PIRSA)</cp:lastModifiedBy>
  <cp:revision>2</cp:revision>
  <dcterms:created xsi:type="dcterms:W3CDTF">2024-05-17T07:35:00Z</dcterms:created>
  <dcterms:modified xsi:type="dcterms:W3CDTF">2024-05-17T07:35:00Z</dcterms:modified>
</cp:coreProperties>
</file>