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Incidence of adverse drug withdrawal reactions following gabapentinoid deprescribing: A systematic review</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Elizabeth Gong</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Shin J Liau</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Yujoung Joung</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Meher Mangat</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Jenny Oh</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superscript"/>
          <w:rtl w:val="0"/>
        </w:rPr>
        <w:t xml:space="preserve"> </w:t>
      </w:r>
      <w:r w:rsidDel="00000000" w:rsidR="00000000" w:rsidRPr="00000000">
        <w:rPr>
          <w:rFonts w:ascii="Calibri" w:cs="Calibri" w:eastAsia="Calibri" w:hAnsi="Calibri"/>
          <w:sz w:val="20"/>
          <w:szCs w:val="20"/>
          <w:rtl w:val="0"/>
        </w:rPr>
        <w:t xml:space="preserve">Suzanne Nielsen</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vertAlign w:val="superscript"/>
          <w:rtl w:val="0"/>
        </w:rPr>
        <w:t xml:space="preserve"> </w:t>
      </w:r>
      <w:r w:rsidDel="00000000" w:rsidR="00000000" w:rsidRPr="00000000">
        <w:rPr>
          <w:rFonts w:ascii="Calibri" w:cs="Calibri" w:eastAsia="Calibri" w:hAnsi="Calibri"/>
          <w:sz w:val="20"/>
          <w:szCs w:val="20"/>
          <w:rtl w:val="0"/>
        </w:rPr>
        <w:t xml:space="preserve">Amy G McNeilage</w:t>
      </w:r>
      <w:r w:rsidDel="00000000" w:rsidR="00000000" w:rsidRPr="00000000">
        <w:rPr>
          <w:rFonts w:ascii="Calibri" w:cs="Calibri" w:eastAsia="Calibri" w:hAnsi="Calibri"/>
          <w:sz w:val="20"/>
          <w:szCs w:val="20"/>
          <w:vertAlign w:val="superscript"/>
          <w:rtl w:val="0"/>
        </w:rPr>
        <w:t xml:space="preserve">2,3</w:t>
      </w:r>
      <w:r w:rsidDel="00000000" w:rsidR="00000000" w:rsidRPr="00000000">
        <w:rPr>
          <w:rFonts w:ascii="Calibri" w:cs="Calibri" w:eastAsia="Calibri" w:hAnsi="Calibri"/>
          <w:sz w:val="20"/>
          <w:szCs w:val="20"/>
          <w:rtl w:val="0"/>
        </w:rPr>
        <w:t xml:space="preserve">, Emily Reeve</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Centre for Medicine Use and Safety, Faculty of Pharmacy and Pharmaceutical Sciences, Monash University</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Parkville, VIC, Aus; Monash Addiction Research Centre, Eastern Health Clinical School, Monash University</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 Frankston, VIC, Aus; Sydney Medical School, Faculty of Medicine and Health, The University of Sydney</w:t>
      </w:r>
      <w:r w:rsidDel="00000000" w:rsidR="00000000" w:rsidRPr="00000000">
        <w:rPr>
          <w:rFonts w:ascii="Calibri" w:cs="Calibri" w:eastAsia="Calibri" w:hAnsi="Calibri"/>
          <w:sz w:val="20"/>
          <w:szCs w:val="20"/>
          <w:vertAlign w:val="superscript"/>
          <w:rtl w:val="0"/>
        </w:rPr>
        <w:t xml:space="preserve">3</w:t>
      </w:r>
      <w:r w:rsidDel="00000000" w:rsidR="00000000" w:rsidRPr="00000000">
        <w:rPr>
          <w:rFonts w:ascii="Calibri" w:cs="Calibri" w:eastAsia="Calibri" w:hAnsi="Calibri"/>
          <w:sz w:val="20"/>
          <w:szCs w:val="20"/>
          <w:rtl w:val="0"/>
        </w:rPr>
        <w:t xml:space="preserve">, Sydney, NSW, Aus.</w:t>
      </w:r>
    </w:p>
    <w:p w:rsidR="00000000" w:rsidDel="00000000" w:rsidP="00000000" w:rsidRDefault="00000000" w:rsidRPr="00000000" w14:paraId="00000003">
      <w:pPr>
        <w:jc w:val="both"/>
        <w:rPr>
          <w:rFonts w:ascii="Calibri" w:cs="Calibri" w:eastAsia="Calibri" w:hAnsi="Calibri"/>
          <w:strike w:val="1"/>
          <w:sz w:val="20"/>
          <w:szCs w:val="20"/>
          <w:u w:val="single"/>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rtl w:val="0"/>
        </w:rPr>
        <w:t xml:space="preserve">Introduction.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shd w:fill="fafdfd" w:val="clear"/>
          <w:rtl w:val="0"/>
        </w:rPr>
        <w:t xml:space="preserve">Limited knowledge on </w:t>
      </w:r>
      <w:r w:rsidDel="00000000" w:rsidR="00000000" w:rsidRPr="00000000">
        <w:rPr>
          <w:rFonts w:ascii="Calibri" w:cs="Calibri" w:eastAsia="Calibri" w:hAnsi="Calibri"/>
          <w:sz w:val="20"/>
          <w:szCs w:val="20"/>
          <w:highlight w:val="white"/>
          <w:rtl w:val="0"/>
        </w:rPr>
        <w:t xml:space="preserve">the occurrence and consequences of gabapentinoid </w:t>
      </w:r>
      <w:r w:rsidDel="00000000" w:rsidR="00000000" w:rsidRPr="00000000">
        <w:rPr>
          <w:rFonts w:ascii="Calibri" w:cs="Calibri" w:eastAsia="Calibri" w:hAnsi="Calibri"/>
          <w:sz w:val="20"/>
          <w:szCs w:val="20"/>
          <w:shd w:fill="fafdfd" w:val="clear"/>
          <w:rtl w:val="0"/>
        </w:rPr>
        <w:t xml:space="preserve">adverse drug withdrawal reactions (ADWRs)</w:t>
      </w:r>
      <w:r w:rsidDel="00000000" w:rsidR="00000000" w:rsidRPr="00000000">
        <w:rPr>
          <w:rFonts w:ascii="Calibri" w:cs="Calibri" w:eastAsia="Calibri" w:hAnsi="Calibri"/>
          <w:sz w:val="20"/>
          <w:szCs w:val="20"/>
          <w:highlight w:val="white"/>
          <w:rtl w:val="0"/>
        </w:rPr>
        <w:t xml:space="preserve"> remains </w:t>
      </w:r>
      <w:r w:rsidDel="00000000" w:rsidR="00000000" w:rsidRPr="00000000">
        <w:rPr>
          <w:rFonts w:ascii="Calibri" w:cs="Calibri" w:eastAsia="Calibri" w:hAnsi="Calibri"/>
          <w:sz w:val="20"/>
          <w:szCs w:val="20"/>
          <w:shd w:fill="fafdfd" w:val="clear"/>
          <w:rtl w:val="0"/>
        </w:rPr>
        <w:t xml:space="preserve">a barrier to deprescribing in clinical practice. </w:t>
      </w:r>
      <w:r w:rsidDel="00000000" w:rsidR="00000000" w:rsidRPr="00000000">
        <w:rPr>
          <w:rFonts w:ascii="Calibri" w:cs="Calibri" w:eastAsia="Calibri" w:hAnsi="Calibri"/>
          <w:sz w:val="20"/>
          <w:szCs w:val="20"/>
          <w:shd w:fill="fafdfd" w:val="clear"/>
          <w:rtl w:val="0"/>
        </w:rPr>
        <w:t xml:space="preserve">Identifying</w:t>
      </w:r>
      <w:r w:rsidDel="00000000" w:rsidR="00000000" w:rsidRPr="00000000">
        <w:rPr>
          <w:rFonts w:ascii="Calibri" w:cs="Calibri" w:eastAsia="Calibri" w:hAnsi="Calibri"/>
          <w:sz w:val="20"/>
          <w:szCs w:val="20"/>
          <w:shd w:fill="fafdfd" w:val="clear"/>
          <w:rtl w:val="0"/>
        </w:rPr>
        <w:t xml:space="preserve"> the incidence of gabapentinoid ADWRs can support clinician and consumer clinician and consumer awareness of potential risks associated with deprescribing.</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Aims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shd w:fill="fafdfd" w:val="clear"/>
          <w:rtl w:val="0"/>
        </w:rPr>
        <w:t xml:space="preserve">To synthesise evidence on the incidence of ADWRs following gabapentinoid deprescribing.</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Methods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shd w:fill="fafdfd" w:val="clear"/>
          <w:rtl w:val="0"/>
        </w:rPr>
        <w:t xml:space="preserve">MEDLINE, Embase, PsycInfo, Cochrane Library, and Scopus databases were searched up to 24 February 2025. Independent duplicate screening, data extraction, and methodological quality assessment were conducted, followed by a narrative synthesis. Original research reporting the incidence of ADWRs following gabapentinoid (gabapentin, pregabalin, </w:t>
      </w:r>
      <w:r w:rsidDel="00000000" w:rsidR="00000000" w:rsidRPr="00000000">
        <w:rPr>
          <w:rFonts w:ascii="Calibri" w:cs="Calibri" w:eastAsia="Calibri" w:hAnsi="Calibri"/>
          <w:sz w:val="20"/>
          <w:szCs w:val="20"/>
          <w:rtl w:val="0"/>
        </w:rPr>
        <w:t xml:space="preserve">mirogabalin</w:t>
      </w:r>
      <w:r w:rsidDel="00000000" w:rsidR="00000000" w:rsidRPr="00000000">
        <w:rPr>
          <w:rFonts w:ascii="Calibri" w:cs="Calibri" w:eastAsia="Calibri" w:hAnsi="Calibri"/>
          <w:sz w:val="20"/>
          <w:szCs w:val="20"/>
          <w:shd w:fill="fafdfd" w:val="clear"/>
          <w:rtl w:val="0"/>
        </w:rPr>
        <w:t xml:space="preserve">) deprescribing </w:t>
      </w:r>
      <w:r w:rsidDel="00000000" w:rsidR="00000000" w:rsidRPr="00000000">
        <w:rPr>
          <w:rFonts w:ascii="Calibri" w:cs="Calibri" w:eastAsia="Calibri" w:hAnsi="Calibri"/>
          <w:sz w:val="20"/>
          <w:szCs w:val="20"/>
          <w:shd w:fill="fafdfd" w:val="clear"/>
          <w:rtl w:val="0"/>
        </w:rPr>
        <w:t xml:space="preserve">were included</w:t>
      </w:r>
      <w:r w:rsidDel="00000000" w:rsidR="00000000" w:rsidRPr="00000000">
        <w:rPr>
          <w:rFonts w:ascii="Calibri" w:cs="Calibri" w:eastAsia="Calibri" w:hAnsi="Calibri"/>
          <w:sz w:val="20"/>
          <w:szCs w:val="20"/>
          <w:shd w:fill="fafdfd" w:val="clear"/>
          <w:rtl w:val="0"/>
        </w:rPr>
        <w:t xml:space="preserve">. </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Results. </w:t>
      </w:r>
      <w:r w:rsidDel="00000000" w:rsidR="00000000" w:rsidRPr="00000000">
        <w:rPr>
          <w:rFonts w:ascii="Calibri" w:cs="Calibri" w:eastAsia="Calibri" w:hAnsi="Calibri"/>
          <w:sz w:val="20"/>
          <w:szCs w:val="20"/>
          <w:shd w:fill="fafdfd" w:val="clear"/>
          <w:rtl w:val="0"/>
        </w:rPr>
        <w:t xml:space="preserve">A total of 5,358 records were identified, of which 14 studies met the inclusion criteria: 9 randomised controlled trials (RCTs), 3 uncontrolled pre-post studies, 1 cross sectional study and 1 pharmacovigilance study. Six RCTs employed the Physician Withdrawal Checklist (PWC) to assess ADWRs. Of those, 5 studies reported a significant difference in PWC scores in the gabapentinoid discontinuation group compared to placebo discontinuation or change from baseline, while 1 found no difference. Four </w:t>
      </w:r>
      <w:r w:rsidDel="00000000" w:rsidR="00000000" w:rsidRPr="00000000">
        <w:rPr>
          <w:rFonts w:ascii="Calibri" w:cs="Calibri" w:eastAsia="Calibri" w:hAnsi="Calibri"/>
          <w:sz w:val="20"/>
          <w:szCs w:val="20"/>
          <w:highlight w:val="white"/>
          <w:rtl w:val="0"/>
        </w:rPr>
        <w:t xml:space="preserve">RCTs reported ADWR incidence, ranging from 0-47%. All 3 uncontrolled pre-post studies and the cross sectional study reported a 0% incidence. The pharmacovigilance study</w:t>
      </w:r>
      <w:r w:rsidDel="00000000" w:rsidR="00000000" w:rsidRPr="00000000">
        <w:rPr>
          <w:rFonts w:ascii="Calibri" w:cs="Calibri" w:eastAsia="Calibri" w:hAnsi="Calibri"/>
          <w:sz w:val="20"/>
          <w:szCs w:val="20"/>
          <w:shd w:fill="fafdfd" w:val="clear"/>
          <w:rtl w:val="0"/>
        </w:rPr>
        <w:t xml:space="preserve"> reported a 33% incidence of ADWRs following discontinuation. </w:t>
      </w:r>
      <w:r w:rsidDel="00000000" w:rsidR="00000000" w:rsidRPr="00000000">
        <w:rPr>
          <w:rFonts w:ascii="Calibri" w:cs="Calibri" w:eastAsia="Calibri" w:hAnsi="Calibri"/>
          <w:color w:val="202021"/>
          <w:sz w:val="20"/>
          <w:szCs w:val="20"/>
          <w:shd w:fill="fafdfd" w:val="clear"/>
          <w:rtl w:val="0"/>
        </w:rPr>
        <w:t xml:space="preserve">Two</w:t>
      </w:r>
      <w:r w:rsidDel="00000000" w:rsidR="00000000" w:rsidRPr="00000000">
        <w:rPr>
          <w:rFonts w:ascii="Calibri" w:cs="Calibri" w:eastAsia="Calibri" w:hAnsi="Calibri"/>
          <w:color w:val="202021"/>
          <w:sz w:val="20"/>
          <w:szCs w:val="20"/>
          <w:shd w:fill="fafdfd" w:val="clear"/>
          <w:rtl w:val="0"/>
        </w:rPr>
        <w:t xml:space="preserve"> studies involved abrupt discontinuation, 9 employed gradual tapering, 2 included both </w:t>
      </w:r>
      <w:r w:rsidDel="00000000" w:rsidR="00000000" w:rsidRPr="00000000">
        <w:rPr>
          <w:rFonts w:ascii="Calibri" w:cs="Calibri" w:eastAsia="Calibri" w:hAnsi="Calibri"/>
          <w:color w:val="202021"/>
          <w:sz w:val="20"/>
          <w:szCs w:val="20"/>
          <w:shd w:fill="fafdfd" w:val="clear"/>
          <w:rtl w:val="0"/>
        </w:rPr>
        <w:t xml:space="preserve">approaches</w:t>
      </w:r>
      <w:r w:rsidDel="00000000" w:rsidR="00000000" w:rsidRPr="00000000">
        <w:rPr>
          <w:rFonts w:ascii="Calibri" w:cs="Calibri" w:eastAsia="Calibri" w:hAnsi="Calibri"/>
          <w:color w:val="202021"/>
          <w:sz w:val="20"/>
          <w:szCs w:val="20"/>
          <w:shd w:fill="fafdfd" w:val="clear"/>
          <w:rtl w:val="0"/>
        </w:rPr>
        <w:t xml:space="preserve">, and 1 study did not specify.</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Discussion.</w:t>
      </w:r>
      <w:r w:rsidDel="00000000" w:rsidR="00000000" w:rsidRPr="00000000">
        <w:rPr>
          <w:rFonts w:ascii="Calibri" w:cs="Calibri" w:eastAsia="Calibri" w:hAnsi="Calibri"/>
          <w:sz w:val="20"/>
          <w:szCs w:val="20"/>
          <w:rtl w:val="0"/>
        </w:rPr>
        <w:t xml:space="preserve"> Despite growing evidence, there is considerable variability in the reported incidence of gabapentinoid ADWRs. Further research is required to determine the influence of gabapentinoid type, dose, duration, and deprescribing strategy. These findings may inform the future development of appropriate tapering regimens and clinical management approaches to support safe gabapentinoid deprescribing in clinical practice.</w:t>
      </w:r>
      <w:r w:rsidDel="00000000" w:rsidR="00000000" w:rsidRPr="00000000">
        <w:rPr>
          <w:rtl w:val="0"/>
        </w:rPr>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120" w:lineRule="auto"/>
      <w:jc w:val="center"/>
    </w:pPr>
    <w:rPr>
      <w:b w:val="1"/>
      <w:smallCaps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3">
    <w:name w:val="Body Text Indent 3"/>
    <w:basedOn w:val="Normal"/>
    <w:next w:val="BodyTextIndent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Heading5Char">
    <w:name w:val="Heading 5 Char"/>
    <w:next w:val="Heading5Char"/>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COiDWXvMxAMUheAnytmxkQS7A==">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2025-01-03T23:52:00Z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str/>
  </property>
  <property fmtid="{D5CDD505-2E9C-101B-9397-08002B2CF9AE}" pid="3" name="TaxCatchAll">
    <vt:lpstr/>
  </property>
</Properties>
</file>