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21BC" w14:textId="001729EE" w:rsidR="00623E70" w:rsidRPr="00523AD7" w:rsidRDefault="00B7270A" w:rsidP="00523AD7">
      <w:pPr>
        <w:pStyle w:val="NormalWeb"/>
        <w:rPr>
          <w:rFonts w:ascii="Calibri" w:hAnsi="Calibri" w:cs="Calibri"/>
          <w:b/>
          <w:bCs/>
          <w:color w:val="1C1C1C"/>
          <w:sz w:val="20"/>
          <w:szCs w:val="20"/>
        </w:rPr>
      </w:pPr>
      <w:r w:rsidRPr="00B7270A">
        <w:rPr>
          <w:rFonts w:ascii="Calibri" w:hAnsi="Calibri" w:cs="Calibri"/>
          <w:b/>
          <w:bCs/>
          <w:color w:val="1C1C1C"/>
          <w:sz w:val="20"/>
          <w:szCs w:val="20"/>
        </w:rPr>
        <w:t xml:space="preserve">Distinct aortic endothelial cell subtype promotes vascular inflammation and remodelling during angiotensin II-induced aortic stiffening </w:t>
      </w:r>
      <w:r w:rsidR="00523AD7">
        <w:rPr>
          <w:rFonts w:ascii="Calibri" w:hAnsi="Calibri" w:cs="Calibri"/>
          <w:b/>
          <w:bCs/>
          <w:color w:val="1C1C1C"/>
          <w:sz w:val="20"/>
          <w:szCs w:val="20"/>
        </w:rPr>
        <w:br/>
      </w:r>
      <w:r w:rsidR="00AD19D7" w:rsidRPr="00AD19D7">
        <w:rPr>
          <w:rFonts w:ascii="Calibri" w:hAnsi="Calibri" w:cs="Calibri"/>
          <w:b/>
          <w:bCs/>
          <w:color w:val="1C1C1C"/>
          <w:sz w:val="20"/>
          <w:szCs w:val="20"/>
          <w:u w:val="single"/>
        </w:rPr>
        <w:t>T A Gibson Hughes</w:t>
      </w:r>
      <w:r w:rsidR="00AD19D7" w:rsidRPr="00AD19D7">
        <w:rPr>
          <w:rFonts w:ascii="Calibri" w:hAnsi="Calibri" w:cs="Calibri"/>
          <w:color w:val="1C1C1C"/>
          <w:sz w:val="20"/>
          <w:szCs w:val="20"/>
          <w:vertAlign w:val="superscript"/>
        </w:rPr>
        <w:t>1,2</w:t>
      </w:r>
      <w:r w:rsidR="00AD19D7" w:rsidRPr="00AD19D7">
        <w:rPr>
          <w:rFonts w:ascii="Calibri" w:hAnsi="Calibri" w:cs="Calibri"/>
          <w:color w:val="1C1C1C"/>
          <w:sz w:val="20"/>
          <w:szCs w:val="20"/>
        </w:rPr>
        <w:t>,</w:t>
      </w:r>
      <w:r w:rsidR="00AD19D7">
        <w:rPr>
          <w:rFonts w:ascii="Calibri" w:hAnsi="Calibri" w:cs="Calibri"/>
          <w:b/>
          <w:bCs/>
          <w:color w:val="1C1C1C"/>
          <w:sz w:val="20"/>
          <w:szCs w:val="20"/>
        </w:rPr>
        <w:t xml:space="preserve"> </w:t>
      </w:r>
      <w:r w:rsidR="00AD19D7" w:rsidRPr="00AD19D7">
        <w:rPr>
          <w:rFonts w:ascii="Calibri" w:hAnsi="Calibri" w:cs="Calibri"/>
          <w:color w:val="1C1C1C"/>
          <w:sz w:val="20"/>
          <w:szCs w:val="20"/>
        </w:rPr>
        <w:t>M I Dona</w:t>
      </w:r>
      <w:r w:rsidR="00AD19D7" w:rsidRPr="00AD19D7">
        <w:rPr>
          <w:rFonts w:ascii="Calibri" w:hAnsi="Calibri" w:cs="Calibri"/>
          <w:color w:val="1C1C1C"/>
          <w:sz w:val="20"/>
          <w:szCs w:val="20"/>
          <w:vertAlign w:val="superscript"/>
        </w:rPr>
        <w:t>1,2</w:t>
      </w:r>
      <w:r w:rsidR="00AD19D7" w:rsidRPr="00AD19D7">
        <w:rPr>
          <w:rFonts w:ascii="Calibri" w:hAnsi="Calibri" w:cs="Calibri"/>
          <w:color w:val="1C1C1C"/>
          <w:sz w:val="20"/>
          <w:szCs w:val="20"/>
        </w:rPr>
        <w:t>,</w:t>
      </w:r>
      <w:r w:rsidR="00AD19D7">
        <w:rPr>
          <w:rFonts w:ascii="Calibri" w:hAnsi="Calibri" w:cs="Calibri"/>
          <w:color w:val="1C1C1C"/>
          <w:sz w:val="20"/>
          <w:szCs w:val="20"/>
        </w:rPr>
        <w:t xml:space="preserve"> B Wickramasing</w:t>
      </w:r>
      <w:r w:rsidR="00EB5224">
        <w:rPr>
          <w:rFonts w:ascii="Calibri" w:hAnsi="Calibri" w:cs="Calibri"/>
          <w:color w:val="1C1C1C"/>
          <w:sz w:val="20"/>
          <w:szCs w:val="20"/>
        </w:rPr>
        <w:t>h</w:t>
      </w:r>
      <w:r w:rsidR="00AD19D7">
        <w:rPr>
          <w:rFonts w:ascii="Calibri" w:hAnsi="Calibri" w:cs="Calibri"/>
          <w:color w:val="1C1C1C"/>
          <w:sz w:val="20"/>
          <w:szCs w:val="20"/>
        </w:rPr>
        <w:t>e</w:t>
      </w:r>
      <w:r w:rsidR="00AD19D7" w:rsidRPr="00AD19D7">
        <w:rPr>
          <w:rFonts w:ascii="Calibri" w:hAnsi="Calibri" w:cs="Calibri"/>
          <w:color w:val="1C1C1C"/>
          <w:sz w:val="20"/>
          <w:szCs w:val="20"/>
          <w:vertAlign w:val="superscript"/>
        </w:rPr>
        <w:t>1</w:t>
      </w:r>
      <w:r w:rsidR="00AD19D7">
        <w:rPr>
          <w:rFonts w:ascii="Calibri" w:hAnsi="Calibri" w:cs="Calibri"/>
          <w:color w:val="1C1C1C"/>
          <w:sz w:val="20"/>
          <w:szCs w:val="20"/>
        </w:rPr>
        <w:t>, V Tran</w:t>
      </w:r>
      <w:r w:rsidR="00AD19D7" w:rsidRPr="00AD19D7">
        <w:rPr>
          <w:rFonts w:ascii="Calibri" w:hAnsi="Calibri" w:cs="Calibri"/>
          <w:color w:val="1C1C1C"/>
          <w:sz w:val="20"/>
          <w:szCs w:val="20"/>
          <w:vertAlign w:val="superscript"/>
        </w:rPr>
        <w:t>1</w:t>
      </w:r>
      <w:r w:rsidR="00AD19D7" w:rsidRPr="00AD19D7">
        <w:rPr>
          <w:rFonts w:ascii="Calibri" w:hAnsi="Calibri" w:cs="Calibri"/>
          <w:color w:val="1C1C1C"/>
          <w:sz w:val="20"/>
          <w:szCs w:val="20"/>
        </w:rPr>
        <w:t xml:space="preserve">, </w:t>
      </w:r>
      <w:r w:rsidR="00AD19D7">
        <w:rPr>
          <w:rFonts w:ascii="Calibri" w:hAnsi="Calibri" w:cs="Calibri"/>
          <w:color w:val="1C1C1C"/>
          <w:sz w:val="20"/>
          <w:szCs w:val="20"/>
        </w:rPr>
        <w:t>G Farrugia</w:t>
      </w:r>
      <w:r w:rsidR="00AD19D7" w:rsidRPr="00AD19D7">
        <w:rPr>
          <w:rFonts w:ascii="Calibri" w:hAnsi="Calibri" w:cs="Calibri"/>
          <w:color w:val="1C1C1C"/>
          <w:sz w:val="20"/>
          <w:szCs w:val="20"/>
          <w:vertAlign w:val="superscript"/>
        </w:rPr>
        <w:t>1,2</w:t>
      </w:r>
      <w:r w:rsidR="00AD19D7">
        <w:rPr>
          <w:rFonts w:ascii="Calibri" w:hAnsi="Calibri" w:cs="Calibri"/>
          <w:color w:val="1C1C1C"/>
          <w:sz w:val="20"/>
          <w:szCs w:val="20"/>
        </w:rPr>
        <w:t>, T Gaynor</w:t>
      </w:r>
      <w:r w:rsidR="00AD19D7" w:rsidRPr="00AD19D7">
        <w:rPr>
          <w:rFonts w:ascii="Calibri" w:hAnsi="Calibri" w:cs="Calibri"/>
          <w:color w:val="1C1C1C"/>
          <w:sz w:val="20"/>
          <w:szCs w:val="20"/>
          <w:vertAlign w:val="superscript"/>
        </w:rPr>
        <w:t>2</w:t>
      </w:r>
      <w:r w:rsidR="00AD19D7">
        <w:rPr>
          <w:rFonts w:ascii="Calibri" w:hAnsi="Calibri" w:cs="Calibri"/>
          <w:color w:val="1C1C1C"/>
          <w:sz w:val="20"/>
          <w:szCs w:val="20"/>
        </w:rPr>
        <w:t>, A Pinto</w:t>
      </w:r>
      <w:r w:rsidR="00AD19D7" w:rsidRPr="00AD19D7">
        <w:rPr>
          <w:rFonts w:ascii="Calibri" w:hAnsi="Calibri" w:cs="Calibri"/>
          <w:color w:val="1C1C1C"/>
          <w:sz w:val="20"/>
          <w:szCs w:val="20"/>
          <w:vertAlign w:val="superscript"/>
        </w:rPr>
        <w:t>1,2</w:t>
      </w:r>
      <w:r w:rsidR="00AD19D7">
        <w:rPr>
          <w:rFonts w:ascii="Calibri" w:hAnsi="Calibri" w:cs="Calibri"/>
          <w:color w:val="1C1C1C"/>
          <w:sz w:val="20"/>
          <w:szCs w:val="20"/>
        </w:rPr>
        <w:t>, G Drummond</w:t>
      </w:r>
      <w:r w:rsidR="00AD19D7" w:rsidRPr="00AD19D7">
        <w:rPr>
          <w:rFonts w:ascii="Calibri" w:hAnsi="Calibri" w:cs="Calibri"/>
          <w:color w:val="1C1C1C"/>
          <w:sz w:val="20"/>
          <w:szCs w:val="20"/>
          <w:vertAlign w:val="superscript"/>
        </w:rPr>
        <w:t>1</w:t>
      </w:r>
      <w:r w:rsidR="00AD19D7">
        <w:rPr>
          <w:rFonts w:ascii="Calibri" w:hAnsi="Calibri" w:cs="Calibri"/>
          <w:color w:val="1C1C1C"/>
          <w:sz w:val="20"/>
          <w:szCs w:val="20"/>
        </w:rPr>
        <w:t>, M Jelinic</w:t>
      </w:r>
      <w:r w:rsidR="00AD19D7" w:rsidRPr="00AD19D7">
        <w:rPr>
          <w:rFonts w:ascii="Calibri" w:hAnsi="Calibri" w:cs="Calibri"/>
          <w:color w:val="1C1C1C"/>
          <w:sz w:val="20"/>
          <w:szCs w:val="20"/>
          <w:vertAlign w:val="superscript"/>
        </w:rPr>
        <w:t>1</w:t>
      </w:r>
      <w:r w:rsidR="00AD19D7">
        <w:rPr>
          <w:rFonts w:ascii="Calibri" w:hAnsi="Calibri" w:cs="Calibri"/>
          <w:color w:val="1C1C1C"/>
          <w:sz w:val="20"/>
          <w:szCs w:val="20"/>
        </w:rPr>
        <w:t>, A Vinh</w:t>
      </w:r>
      <w:r w:rsidR="00AD19D7" w:rsidRPr="00AD19D7">
        <w:rPr>
          <w:rFonts w:ascii="Calibri" w:hAnsi="Calibri" w:cs="Calibri"/>
          <w:color w:val="1C1C1C"/>
          <w:sz w:val="20"/>
          <w:szCs w:val="20"/>
          <w:vertAlign w:val="superscript"/>
        </w:rPr>
        <w:t>1</w:t>
      </w:r>
      <w:r w:rsidR="00AD19D7">
        <w:rPr>
          <w:rFonts w:ascii="Calibri" w:hAnsi="Calibri" w:cs="Calibri"/>
          <w:color w:val="1C1C1C"/>
          <w:sz w:val="20"/>
          <w:szCs w:val="20"/>
        </w:rPr>
        <w:t xml:space="preserve">. </w:t>
      </w:r>
      <w:r w:rsidR="00AD19D7" w:rsidRPr="00AD19D7">
        <w:rPr>
          <w:rFonts w:ascii="Calibri" w:hAnsi="Calibri" w:cs="Calibri"/>
          <w:color w:val="1C1C1C"/>
          <w:sz w:val="20"/>
          <w:szCs w:val="20"/>
          <w:vertAlign w:val="superscript"/>
        </w:rPr>
        <w:t>1</w:t>
      </w:r>
      <w:r w:rsidR="00AD19D7">
        <w:rPr>
          <w:rFonts w:ascii="Calibri" w:hAnsi="Calibri" w:cs="Calibri"/>
          <w:color w:val="1C1C1C"/>
          <w:sz w:val="20"/>
          <w:szCs w:val="20"/>
        </w:rPr>
        <w:t xml:space="preserve">Centre for Cardiovascular Biology and Disease Research, La Trobe University, Bundoora, VIC, Australia. </w:t>
      </w:r>
      <w:r w:rsidR="00AD19D7" w:rsidRPr="00AD19D7">
        <w:rPr>
          <w:rFonts w:ascii="Calibri" w:hAnsi="Calibri" w:cs="Calibri"/>
          <w:color w:val="1C1C1C"/>
          <w:sz w:val="20"/>
          <w:szCs w:val="20"/>
          <w:vertAlign w:val="superscript"/>
        </w:rPr>
        <w:t>2</w:t>
      </w:r>
      <w:r w:rsidR="00AD19D7">
        <w:rPr>
          <w:rFonts w:ascii="Calibri" w:hAnsi="Calibri" w:cs="Calibri"/>
          <w:color w:val="1C1C1C"/>
          <w:sz w:val="20"/>
          <w:szCs w:val="20"/>
        </w:rPr>
        <w:t xml:space="preserve">Baker Heart and Diabetes Institute, VIC, Australia. </w:t>
      </w:r>
    </w:p>
    <w:p w14:paraId="2B67A938" w14:textId="37403052" w:rsidR="00623E70" w:rsidRPr="001E099F" w:rsidRDefault="00B7270A" w:rsidP="001E099F">
      <w:pPr>
        <w:pStyle w:val="NormalWeb"/>
        <w:rPr>
          <w:rFonts w:ascii="Calibri" w:hAnsi="Calibri" w:cs="Calibri"/>
          <w:b/>
          <w:bCs/>
          <w:sz w:val="20"/>
          <w:szCs w:val="20"/>
        </w:rPr>
      </w:pPr>
      <w:r w:rsidRPr="00B7270A">
        <w:rPr>
          <w:rFonts w:ascii="Calibri" w:hAnsi="Calibri" w:cs="Calibri"/>
          <w:b/>
          <w:bCs/>
          <w:sz w:val="20"/>
          <w:szCs w:val="20"/>
        </w:rPr>
        <w:t>Introduction.</w:t>
      </w:r>
      <w:r w:rsidRPr="00B7270A">
        <w:rPr>
          <w:rFonts w:ascii="Calibri" w:hAnsi="Calibri" w:cs="Calibri"/>
          <w:sz w:val="20"/>
          <w:szCs w:val="20"/>
        </w:rPr>
        <w:t xml:space="preserve"> Hypertension is the leading cause of death, affecting one third of adults worldwide. Aortic stiffening, inflammation and endothelial dysfunction are hallmarks of hypertension, however the interactions between these conditions remain largely unknown</w:t>
      </w:r>
      <w:r w:rsidRPr="00B7270A">
        <w:rPr>
          <w:rFonts w:ascii="Calibri" w:hAnsi="Calibri" w:cs="Calibri"/>
          <w:sz w:val="20"/>
          <w:szCs w:val="20"/>
        </w:rPr>
        <w:t>.</w:t>
      </w:r>
      <w:r w:rsidR="005D5F0E">
        <w:rPr>
          <w:rFonts w:ascii="Calibri" w:hAnsi="Calibri" w:cs="Calibri"/>
          <w:b/>
          <w:bCs/>
          <w:sz w:val="20"/>
          <w:szCs w:val="20"/>
        </w:rPr>
        <w:br/>
      </w:r>
      <w:r w:rsidR="005D5F0E" w:rsidRPr="00B7270A">
        <w:rPr>
          <w:rFonts w:ascii="Calibri" w:hAnsi="Calibri" w:cs="Calibri"/>
          <w:b/>
          <w:bCs/>
          <w:sz w:val="20"/>
          <w:szCs w:val="20"/>
        </w:rPr>
        <w:t>Aims</w:t>
      </w:r>
      <w:r w:rsidR="005D5F0E" w:rsidRPr="00B7270A">
        <w:rPr>
          <w:rFonts w:ascii="Calibri" w:hAnsi="Calibri" w:cs="Calibri"/>
          <w:sz w:val="20"/>
          <w:szCs w:val="20"/>
        </w:rPr>
        <w:t>. We aimed to characterise endothelial cell (EC) heterogeneity and compare aortic EC phenotypes in healthy and hypertensive settings.</w:t>
      </w:r>
      <w:r w:rsidR="005D5F0E">
        <w:rPr>
          <w:rFonts w:ascii="Calibri" w:hAnsi="Calibri" w:cs="Calibri"/>
          <w:b/>
          <w:bCs/>
          <w:sz w:val="20"/>
          <w:szCs w:val="20"/>
        </w:rPr>
        <w:br/>
      </w:r>
      <w:r w:rsidRPr="00B7270A">
        <w:rPr>
          <w:rFonts w:ascii="Calibri" w:hAnsi="Calibri" w:cs="Calibri"/>
          <w:b/>
          <w:bCs/>
          <w:sz w:val="20"/>
          <w:szCs w:val="20"/>
        </w:rPr>
        <w:t>Methods</w:t>
      </w:r>
      <w:r w:rsidRPr="00B7270A">
        <w:rPr>
          <w:rFonts w:ascii="Calibri" w:hAnsi="Calibri" w:cs="Calibri"/>
          <w:sz w:val="20"/>
          <w:szCs w:val="20"/>
        </w:rPr>
        <w:t>. Hypertension was induced by angiotensin (Ang) II (0.7 mg/kg/day) infusion into 12-week-old male C57BL/6 mice via osmotic minipump (</w:t>
      </w:r>
      <w:proofErr w:type="spellStart"/>
      <w:r w:rsidRPr="00B7270A">
        <w:rPr>
          <w:rFonts w:ascii="Calibri" w:hAnsi="Calibri" w:cs="Calibri"/>
          <w:i/>
          <w:iCs/>
          <w:sz w:val="20"/>
          <w:szCs w:val="20"/>
        </w:rPr>
        <w:t>s.c.</w:t>
      </w:r>
      <w:proofErr w:type="spellEnd"/>
      <w:r w:rsidRPr="00B7270A">
        <w:rPr>
          <w:rFonts w:ascii="Calibri" w:hAnsi="Calibri" w:cs="Calibri"/>
          <w:sz w:val="20"/>
          <w:szCs w:val="20"/>
        </w:rPr>
        <w:t xml:space="preserve">). Normotensive control mice received saline. After 28 days, aortae were harvested and enzymatically dissociated into single-cell suspensions. Metabolically active live cells were collected using FACS and prepared for single cell RNA-sequencing using Chromium 10x and </w:t>
      </w:r>
      <w:proofErr w:type="spellStart"/>
      <w:r w:rsidRPr="00B7270A">
        <w:rPr>
          <w:rFonts w:ascii="Calibri" w:hAnsi="Calibri" w:cs="Calibri"/>
          <w:sz w:val="20"/>
          <w:szCs w:val="20"/>
        </w:rPr>
        <w:t>NovaSeq</w:t>
      </w:r>
      <w:proofErr w:type="spellEnd"/>
      <w:r w:rsidRPr="00B7270A">
        <w:rPr>
          <w:rFonts w:ascii="Calibri" w:hAnsi="Calibri" w:cs="Calibri"/>
          <w:sz w:val="20"/>
          <w:szCs w:val="20"/>
        </w:rPr>
        <w:t xml:space="preserve"> genomics platforms.</w:t>
      </w:r>
      <w:r w:rsidR="005D5F0E">
        <w:rPr>
          <w:rFonts w:ascii="Calibri" w:hAnsi="Calibri" w:cs="Calibri"/>
          <w:b/>
          <w:bCs/>
          <w:sz w:val="20"/>
          <w:szCs w:val="20"/>
        </w:rPr>
        <w:br/>
      </w:r>
      <w:r w:rsidRPr="00B7270A">
        <w:rPr>
          <w:rFonts w:ascii="Calibri" w:hAnsi="Calibri" w:cs="Calibri"/>
          <w:b/>
          <w:bCs/>
          <w:sz w:val="20"/>
          <w:szCs w:val="20"/>
        </w:rPr>
        <w:t>Results.</w:t>
      </w:r>
      <w:r w:rsidRPr="00B7270A">
        <w:rPr>
          <w:rFonts w:ascii="Calibri" w:hAnsi="Calibri" w:cs="Calibri"/>
          <w:sz w:val="20"/>
          <w:szCs w:val="20"/>
        </w:rPr>
        <w:t xml:space="preserve"> Single-cell analysis of 22,207 cells identified 17 cell types including 3 distinct Pecam1-expressing EC subclusters, one being a lymphatic EC. Interestingly, von Willebrand factor (vWF), a widely accepted</w:t>
      </w:r>
      <w:r w:rsidR="00AD19D7">
        <w:rPr>
          <w:rFonts w:ascii="Calibri" w:hAnsi="Calibri" w:cs="Calibri"/>
          <w:sz w:val="20"/>
          <w:szCs w:val="20"/>
        </w:rPr>
        <w:t xml:space="preserve"> </w:t>
      </w:r>
      <w:r w:rsidRPr="00B7270A">
        <w:rPr>
          <w:rFonts w:ascii="Calibri" w:hAnsi="Calibri" w:cs="Calibri"/>
          <w:sz w:val="20"/>
          <w:szCs w:val="20"/>
        </w:rPr>
        <w:t>EC marker, was solely expressed in one EC cluster (EC2). Immunofluorescen</w:t>
      </w:r>
      <w:r w:rsidR="00AD19D7">
        <w:rPr>
          <w:rFonts w:ascii="Calibri" w:hAnsi="Calibri" w:cs="Calibri"/>
          <w:sz w:val="20"/>
          <w:szCs w:val="20"/>
        </w:rPr>
        <w:t>ce</w:t>
      </w:r>
      <w:r w:rsidRPr="00B7270A">
        <w:rPr>
          <w:rFonts w:ascii="Calibri" w:hAnsi="Calibri" w:cs="Calibri"/>
          <w:sz w:val="20"/>
          <w:szCs w:val="20"/>
        </w:rPr>
        <w:t xml:space="preserve"> and flow cytometry confirmed the presence of three distinct EC populations. To determine regional heterogeneity, flow cytometry was performed on thoracic and abdominal aortas from male and female mice and showed male mice harboured a higher percentage of vWF+ ECs. Irrespective of sex, the abdominal aorta had a higher proportion of vWF+ ECs compared to thoracic aorta. Gene ontology analysis revealed hypertension enriched for biological processes associated with </w:t>
      </w:r>
      <w:r w:rsidRPr="00AD19D7">
        <w:rPr>
          <w:rFonts w:ascii="Calibri" w:hAnsi="Calibri" w:cs="Calibri"/>
          <w:i/>
          <w:iCs/>
          <w:sz w:val="20"/>
          <w:szCs w:val="20"/>
        </w:rPr>
        <w:t>ECM organisation</w:t>
      </w:r>
      <w:r w:rsidRPr="00B7270A">
        <w:rPr>
          <w:rFonts w:ascii="Calibri" w:hAnsi="Calibri" w:cs="Calibri"/>
          <w:sz w:val="20"/>
          <w:szCs w:val="20"/>
        </w:rPr>
        <w:t xml:space="preserve">, </w:t>
      </w:r>
      <w:r w:rsidRPr="00AD19D7">
        <w:rPr>
          <w:rFonts w:ascii="Calibri" w:hAnsi="Calibri" w:cs="Calibri"/>
          <w:i/>
          <w:iCs/>
          <w:sz w:val="20"/>
          <w:szCs w:val="20"/>
        </w:rPr>
        <w:t>cell adhesion</w:t>
      </w:r>
      <w:r w:rsidRPr="00B7270A">
        <w:rPr>
          <w:rFonts w:ascii="Calibri" w:hAnsi="Calibri" w:cs="Calibri"/>
          <w:sz w:val="20"/>
          <w:szCs w:val="20"/>
        </w:rPr>
        <w:t xml:space="preserve"> and </w:t>
      </w:r>
      <w:r w:rsidRPr="00AD19D7">
        <w:rPr>
          <w:rFonts w:ascii="Calibri" w:hAnsi="Calibri" w:cs="Calibri"/>
          <w:i/>
          <w:iCs/>
          <w:sz w:val="20"/>
          <w:szCs w:val="20"/>
        </w:rPr>
        <w:t>migration</w:t>
      </w:r>
      <w:r w:rsidRPr="00B7270A">
        <w:rPr>
          <w:rFonts w:ascii="Calibri" w:hAnsi="Calibri" w:cs="Calibri"/>
          <w:sz w:val="20"/>
          <w:szCs w:val="20"/>
        </w:rPr>
        <w:t xml:space="preserve"> in EC2, suggesting a pro-fibrotic phenotype. Cell-cell communication analysis showed profibrotic signalling pathways enriched in EC2 from hypertensive mice including </w:t>
      </w:r>
      <w:r w:rsidRPr="00AD19D7">
        <w:rPr>
          <w:rFonts w:ascii="Calibri" w:hAnsi="Calibri" w:cs="Calibri"/>
          <w:i/>
          <w:iCs/>
          <w:sz w:val="20"/>
          <w:szCs w:val="20"/>
        </w:rPr>
        <w:t>Thbs1</w:t>
      </w:r>
      <w:r w:rsidRPr="00B7270A">
        <w:rPr>
          <w:rFonts w:ascii="Calibri" w:hAnsi="Calibri" w:cs="Calibri"/>
          <w:sz w:val="20"/>
          <w:szCs w:val="20"/>
        </w:rPr>
        <w:t xml:space="preserve">, </w:t>
      </w:r>
      <w:r w:rsidRPr="00AD19D7">
        <w:rPr>
          <w:rFonts w:ascii="Calibri" w:hAnsi="Calibri" w:cs="Calibri"/>
          <w:i/>
          <w:iCs/>
          <w:sz w:val="20"/>
          <w:szCs w:val="20"/>
        </w:rPr>
        <w:t>Fn1</w:t>
      </w:r>
      <w:r w:rsidR="00AD19D7">
        <w:rPr>
          <w:rFonts w:ascii="Calibri" w:hAnsi="Calibri" w:cs="Calibri"/>
          <w:sz w:val="20"/>
          <w:szCs w:val="20"/>
        </w:rPr>
        <w:t xml:space="preserve">, </w:t>
      </w:r>
      <w:r w:rsidRPr="00AD19D7">
        <w:rPr>
          <w:rFonts w:ascii="Calibri" w:hAnsi="Calibri" w:cs="Calibri"/>
          <w:i/>
          <w:iCs/>
          <w:sz w:val="20"/>
          <w:szCs w:val="20"/>
        </w:rPr>
        <w:t>Bm</w:t>
      </w:r>
      <w:r w:rsidR="00AD19D7" w:rsidRPr="00AD19D7">
        <w:rPr>
          <w:rFonts w:ascii="Calibri" w:hAnsi="Calibri" w:cs="Calibri"/>
          <w:i/>
          <w:iCs/>
          <w:sz w:val="20"/>
          <w:szCs w:val="20"/>
        </w:rPr>
        <w:t>p</w:t>
      </w:r>
      <w:r w:rsidRPr="00B7270A">
        <w:rPr>
          <w:rFonts w:ascii="Calibri" w:hAnsi="Calibri" w:cs="Calibri"/>
          <w:sz w:val="20"/>
          <w:szCs w:val="20"/>
        </w:rPr>
        <w:t xml:space="preserve"> </w:t>
      </w:r>
      <w:r w:rsidR="00AD19D7">
        <w:rPr>
          <w:rFonts w:ascii="Calibri" w:hAnsi="Calibri" w:cs="Calibri"/>
          <w:sz w:val="20"/>
          <w:szCs w:val="20"/>
        </w:rPr>
        <w:t xml:space="preserve">and </w:t>
      </w:r>
      <w:r w:rsidRPr="00B7270A">
        <w:rPr>
          <w:rFonts w:ascii="Calibri" w:hAnsi="Calibri" w:cs="Calibri"/>
          <w:sz w:val="20"/>
          <w:szCs w:val="20"/>
        </w:rPr>
        <w:t>Icam1</w:t>
      </w:r>
      <w:r w:rsidR="00AD19D7">
        <w:rPr>
          <w:rFonts w:ascii="Calibri" w:hAnsi="Calibri" w:cs="Calibri"/>
          <w:sz w:val="20"/>
          <w:szCs w:val="20"/>
        </w:rPr>
        <w:t xml:space="preserve">, </w:t>
      </w:r>
      <w:r w:rsidRPr="00B7270A">
        <w:rPr>
          <w:rFonts w:ascii="Calibri" w:hAnsi="Calibri" w:cs="Calibri"/>
          <w:sz w:val="20"/>
          <w:szCs w:val="20"/>
        </w:rPr>
        <w:t>which was uniquely associated with EC2-macrophage cross talk</w:t>
      </w:r>
      <w:r w:rsidR="00AD19D7">
        <w:rPr>
          <w:rFonts w:ascii="Calibri" w:hAnsi="Calibri" w:cs="Calibri"/>
          <w:sz w:val="20"/>
          <w:szCs w:val="20"/>
        </w:rPr>
        <w:t>.</w:t>
      </w:r>
      <w:r w:rsidR="005D5F0E">
        <w:rPr>
          <w:rFonts w:ascii="Calibri" w:hAnsi="Calibri" w:cs="Calibri"/>
          <w:b/>
          <w:bCs/>
          <w:sz w:val="20"/>
          <w:szCs w:val="20"/>
        </w:rPr>
        <w:br/>
      </w:r>
      <w:r w:rsidRPr="00B7270A">
        <w:rPr>
          <w:rFonts w:ascii="Calibri" w:hAnsi="Calibri" w:cs="Calibri"/>
          <w:b/>
          <w:bCs/>
          <w:sz w:val="20"/>
          <w:szCs w:val="20"/>
        </w:rPr>
        <w:t>Discussion.</w:t>
      </w:r>
      <w:r w:rsidRPr="00B7270A">
        <w:rPr>
          <w:rFonts w:ascii="Calibri" w:hAnsi="Calibri" w:cs="Calibri"/>
          <w:sz w:val="20"/>
          <w:szCs w:val="20"/>
        </w:rPr>
        <w:t xml:space="preserve"> Characterising the distinct roles of aortic EC subtypes may provide crucial insights into EC- driven molecular mechanisms of aortic stiffening and inflammation in the context of hypertension.</w:t>
      </w:r>
    </w:p>
    <w:sectPr w:rsidR="00623E70" w:rsidRPr="001E099F" w:rsidSect="00B7270A">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0A"/>
    <w:rsid w:val="0001342D"/>
    <w:rsid w:val="00013E73"/>
    <w:rsid w:val="00027040"/>
    <w:rsid w:val="00027FC7"/>
    <w:rsid w:val="00036330"/>
    <w:rsid w:val="000416A1"/>
    <w:rsid w:val="00046E21"/>
    <w:rsid w:val="00061ADD"/>
    <w:rsid w:val="0006671D"/>
    <w:rsid w:val="000A27B9"/>
    <w:rsid w:val="000A6EEA"/>
    <w:rsid w:val="000B5DCE"/>
    <w:rsid w:val="000C12E1"/>
    <w:rsid w:val="000C7CD6"/>
    <w:rsid w:val="000D3BF9"/>
    <w:rsid w:val="000E4BC9"/>
    <w:rsid w:val="00106B10"/>
    <w:rsid w:val="001104E2"/>
    <w:rsid w:val="0011470F"/>
    <w:rsid w:val="00122AB6"/>
    <w:rsid w:val="00123AE5"/>
    <w:rsid w:val="001304D1"/>
    <w:rsid w:val="00134B37"/>
    <w:rsid w:val="00134BF2"/>
    <w:rsid w:val="00170B1A"/>
    <w:rsid w:val="001843E0"/>
    <w:rsid w:val="00185F9F"/>
    <w:rsid w:val="001912BA"/>
    <w:rsid w:val="00197517"/>
    <w:rsid w:val="001A27F6"/>
    <w:rsid w:val="001D36D7"/>
    <w:rsid w:val="001E099F"/>
    <w:rsid w:val="001E4918"/>
    <w:rsid w:val="001F3789"/>
    <w:rsid w:val="001F5342"/>
    <w:rsid w:val="00203217"/>
    <w:rsid w:val="00212A4F"/>
    <w:rsid w:val="0021605C"/>
    <w:rsid w:val="00243912"/>
    <w:rsid w:val="002457C6"/>
    <w:rsid w:val="00247CE7"/>
    <w:rsid w:val="002702DA"/>
    <w:rsid w:val="0027548D"/>
    <w:rsid w:val="00281F2A"/>
    <w:rsid w:val="002C4AAA"/>
    <w:rsid w:val="002E61F9"/>
    <w:rsid w:val="002F6537"/>
    <w:rsid w:val="00302A42"/>
    <w:rsid w:val="00303370"/>
    <w:rsid w:val="0033502B"/>
    <w:rsid w:val="00336F65"/>
    <w:rsid w:val="003438BE"/>
    <w:rsid w:val="003438D0"/>
    <w:rsid w:val="003442E1"/>
    <w:rsid w:val="00353C5D"/>
    <w:rsid w:val="003558C3"/>
    <w:rsid w:val="003633C7"/>
    <w:rsid w:val="00374BD0"/>
    <w:rsid w:val="00377EB1"/>
    <w:rsid w:val="00383A7B"/>
    <w:rsid w:val="003A62C5"/>
    <w:rsid w:val="003D52F4"/>
    <w:rsid w:val="003E3B27"/>
    <w:rsid w:val="004044EF"/>
    <w:rsid w:val="00406985"/>
    <w:rsid w:val="00406F79"/>
    <w:rsid w:val="00446A70"/>
    <w:rsid w:val="00450637"/>
    <w:rsid w:val="00483FEA"/>
    <w:rsid w:val="004B102B"/>
    <w:rsid w:val="004B71B8"/>
    <w:rsid w:val="004B72F4"/>
    <w:rsid w:val="004C0DD2"/>
    <w:rsid w:val="00507197"/>
    <w:rsid w:val="00523AD7"/>
    <w:rsid w:val="005272B9"/>
    <w:rsid w:val="005274F9"/>
    <w:rsid w:val="005279AA"/>
    <w:rsid w:val="005330F0"/>
    <w:rsid w:val="00556E60"/>
    <w:rsid w:val="00566D58"/>
    <w:rsid w:val="00572082"/>
    <w:rsid w:val="005725E2"/>
    <w:rsid w:val="005736EC"/>
    <w:rsid w:val="0057607F"/>
    <w:rsid w:val="00585DDF"/>
    <w:rsid w:val="00585FCB"/>
    <w:rsid w:val="00590600"/>
    <w:rsid w:val="00597D97"/>
    <w:rsid w:val="005B4B5D"/>
    <w:rsid w:val="005C0921"/>
    <w:rsid w:val="005C703C"/>
    <w:rsid w:val="005D52F0"/>
    <w:rsid w:val="005D5F0E"/>
    <w:rsid w:val="005E0D77"/>
    <w:rsid w:val="00623E70"/>
    <w:rsid w:val="00630528"/>
    <w:rsid w:val="00641FA5"/>
    <w:rsid w:val="0066322B"/>
    <w:rsid w:val="00693006"/>
    <w:rsid w:val="0069516B"/>
    <w:rsid w:val="0069766C"/>
    <w:rsid w:val="006B3677"/>
    <w:rsid w:val="006E1B4E"/>
    <w:rsid w:val="006E7FFC"/>
    <w:rsid w:val="006F1BBE"/>
    <w:rsid w:val="00711BF2"/>
    <w:rsid w:val="00725C98"/>
    <w:rsid w:val="00752646"/>
    <w:rsid w:val="00763031"/>
    <w:rsid w:val="00777A7C"/>
    <w:rsid w:val="00787CAF"/>
    <w:rsid w:val="007C427C"/>
    <w:rsid w:val="007C5E1B"/>
    <w:rsid w:val="007C7BCB"/>
    <w:rsid w:val="007D059B"/>
    <w:rsid w:val="007D22D6"/>
    <w:rsid w:val="007E7AEA"/>
    <w:rsid w:val="008070C7"/>
    <w:rsid w:val="00812A56"/>
    <w:rsid w:val="0084242F"/>
    <w:rsid w:val="00855DCD"/>
    <w:rsid w:val="00873AD5"/>
    <w:rsid w:val="008838BB"/>
    <w:rsid w:val="00895A8F"/>
    <w:rsid w:val="008A4126"/>
    <w:rsid w:val="008B0FAB"/>
    <w:rsid w:val="008C326C"/>
    <w:rsid w:val="008C4FB5"/>
    <w:rsid w:val="008C5C15"/>
    <w:rsid w:val="008E420E"/>
    <w:rsid w:val="008E567E"/>
    <w:rsid w:val="008F7173"/>
    <w:rsid w:val="00903E46"/>
    <w:rsid w:val="0092336E"/>
    <w:rsid w:val="0095206D"/>
    <w:rsid w:val="00960F39"/>
    <w:rsid w:val="00964479"/>
    <w:rsid w:val="00975DAA"/>
    <w:rsid w:val="0098210C"/>
    <w:rsid w:val="00995F95"/>
    <w:rsid w:val="00996EFB"/>
    <w:rsid w:val="009A118F"/>
    <w:rsid w:val="009A2624"/>
    <w:rsid w:val="009A45D5"/>
    <w:rsid w:val="009B2B01"/>
    <w:rsid w:val="009B44C4"/>
    <w:rsid w:val="009B56BB"/>
    <w:rsid w:val="009B7FFC"/>
    <w:rsid w:val="009C1CA9"/>
    <w:rsid w:val="009C48C2"/>
    <w:rsid w:val="00A00828"/>
    <w:rsid w:val="00A02DA1"/>
    <w:rsid w:val="00A11018"/>
    <w:rsid w:val="00A13CAD"/>
    <w:rsid w:val="00A249E2"/>
    <w:rsid w:val="00A30149"/>
    <w:rsid w:val="00A55739"/>
    <w:rsid w:val="00A569A5"/>
    <w:rsid w:val="00A7527D"/>
    <w:rsid w:val="00A8272C"/>
    <w:rsid w:val="00A848D8"/>
    <w:rsid w:val="00A93C13"/>
    <w:rsid w:val="00A9706A"/>
    <w:rsid w:val="00AA5E43"/>
    <w:rsid w:val="00AB2DDA"/>
    <w:rsid w:val="00AB2F7B"/>
    <w:rsid w:val="00AD19D7"/>
    <w:rsid w:val="00B0420B"/>
    <w:rsid w:val="00B04334"/>
    <w:rsid w:val="00B358E1"/>
    <w:rsid w:val="00B42D30"/>
    <w:rsid w:val="00B503F8"/>
    <w:rsid w:val="00B5630E"/>
    <w:rsid w:val="00B63DB1"/>
    <w:rsid w:val="00B7270A"/>
    <w:rsid w:val="00B8427C"/>
    <w:rsid w:val="00B938EF"/>
    <w:rsid w:val="00B95D30"/>
    <w:rsid w:val="00BB44F8"/>
    <w:rsid w:val="00BB7702"/>
    <w:rsid w:val="00BF7A17"/>
    <w:rsid w:val="00C018A1"/>
    <w:rsid w:val="00C12C73"/>
    <w:rsid w:val="00C1632F"/>
    <w:rsid w:val="00C252D8"/>
    <w:rsid w:val="00C340D0"/>
    <w:rsid w:val="00C429E6"/>
    <w:rsid w:val="00C45739"/>
    <w:rsid w:val="00C557D8"/>
    <w:rsid w:val="00C56677"/>
    <w:rsid w:val="00C60C6A"/>
    <w:rsid w:val="00C74A5B"/>
    <w:rsid w:val="00C8738F"/>
    <w:rsid w:val="00C9056A"/>
    <w:rsid w:val="00C92389"/>
    <w:rsid w:val="00CA0F68"/>
    <w:rsid w:val="00CA1D38"/>
    <w:rsid w:val="00CA5CF0"/>
    <w:rsid w:val="00CB4A7E"/>
    <w:rsid w:val="00CC08DD"/>
    <w:rsid w:val="00CC240C"/>
    <w:rsid w:val="00CC443A"/>
    <w:rsid w:val="00CD421E"/>
    <w:rsid w:val="00CD502E"/>
    <w:rsid w:val="00CF2672"/>
    <w:rsid w:val="00CF6410"/>
    <w:rsid w:val="00D0109A"/>
    <w:rsid w:val="00D10236"/>
    <w:rsid w:val="00D170E1"/>
    <w:rsid w:val="00D40F61"/>
    <w:rsid w:val="00D4624C"/>
    <w:rsid w:val="00D46E13"/>
    <w:rsid w:val="00D56546"/>
    <w:rsid w:val="00D57F46"/>
    <w:rsid w:val="00D61F88"/>
    <w:rsid w:val="00D6732E"/>
    <w:rsid w:val="00D73BCC"/>
    <w:rsid w:val="00D85AD7"/>
    <w:rsid w:val="00D8758B"/>
    <w:rsid w:val="00D9743F"/>
    <w:rsid w:val="00DC04A0"/>
    <w:rsid w:val="00DD3E09"/>
    <w:rsid w:val="00DE114B"/>
    <w:rsid w:val="00E469F3"/>
    <w:rsid w:val="00E504B9"/>
    <w:rsid w:val="00E80DB1"/>
    <w:rsid w:val="00E95BC4"/>
    <w:rsid w:val="00EA464B"/>
    <w:rsid w:val="00EB5224"/>
    <w:rsid w:val="00EC1246"/>
    <w:rsid w:val="00EC6C6D"/>
    <w:rsid w:val="00ED533A"/>
    <w:rsid w:val="00EF39A3"/>
    <w:rsid w:val="00F155BB"/>
    <w:rsid w:val="00F22C94"/>
    <w:rsid w:val="00F2483F"/>
    <w:rsid w:val="00F31AA8"/>
    <w:rsid w:val="00F64628"/>
    <w:rsid w:val="00F82FC6"/>
    <w:rsid w:val="00F85AFE"/>
    <w:rsid w:val="00F87926"/>
    <w:rsid w:val="00F9027E"/>
    <w:rsid w:val="00FC27EB"/>
    <w:rsid w:val="00FC2DD4"/>
    <w:rsid w:val="00FC5E1A"/>
    <w:rsid w:val="00FE7F0B"/>
    <w:rsid w:val="00FF0D52"/>
    <w:rsid w:val="00FF2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DD42"/>
  <w15:chartTrackingRefBased/>
  <w15:docId w15:val="{DA8E75DC-27EA-A245-9972-70F10580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70A"/>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B7270A"/>
    <w:pPr>
      <w:keepNext/>
      <w:keepLines/>
      <w:spacing w:before="360" w:after="80"/>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B7270A"/>
    <w:pPr>
      <w:keepNext/>
      <w:keepLines/>
      <w:spacing w:before="160" w:after="80"/>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B7270A"/>
    <w:pPr>
      <w:keepNext/>
      <w:keepLines/>
      <w:spacing w:before="160" w:after="80"/>
      <w:outlineLvl w:val="2"/>
    </w:pPr>
    <w:rPr>
      <w:rFonts w:asciiTheme="minorHAnsi" w:eastAsiaTheme="majorEastAsia" w:hAnsiTheme="minorHAnsi"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B7270A"/>
    <w:pPr>
      <w:keepNext/>
      <w:keepLines/>
      <w:spacing w:before="80" w:after="40"/>
      <w:outlineLvl w:val="3"/>
    </w:pPr>
    <w:rPr>
      <w:rFonts w:asciiTheme="minorHAnsi" w:eastAsiaTheme="majorEastAsia" w:hAnsiTheme="minorHAnsi" w:cstheme="majorBidi"/>
      <w:i/>
      <w:iCs/>
      <w:color w:val="0F4761" w:themeColor="accent1" w:themeShade="BF"/>
      <w:lang w:val="en-AU"/>
    </w:rPr>
  </w:style>
  <w:style w:type="paragraph" w:styleId="Heading5">
    <w:name w:val="heading 5"/>
    <w:basedOn w:val="Normal"/>
    <w:next w:val="Normal"/>
    <w:link w:val="Heading5Char"/>
    <w:uiPriority w:val="9"/>
    <w:semiHidden/>
    <w:unhideWhenUsed/>
    <w:qFormat/>
    <w:rsid w:val="00B7270A"/>
    <w:pPr>
      <w:keepNext/>
      <w:keepLines/>
      <w:spacing w:before="80" w:after="40"/>
      <w:outlineLvl w:val="4"/>
    </w:pPr>
    <w:rPr>
      <w:rFonts w:asciiTheme="minorHAnsi" w:eastAsiaTheme="majorEastAsia" w:hAnsiTheme="minorHAnsi" w:cstheme="majorBidi"/>
      <w:color w:val="0F4761" w:themeColor="accent1" w:themeShade="BF"/>
      <w:lang w:val="en-AU"/>
    </w:rPr>
  </w:style>
  <w:style w:type="paragraph" w:styleId="Heading6">
    <w:name w:val="heading 6"/>
    <w:basedOn w:val="Normal"/>
    <w:next w:val="Normal"/>
    <w:link w:val="Heading6Char"/>
    <w:uiPriority w:val="9"/>
    <w:semiHidden/>
    <w:unhideWhenUsed/>
    <w:qFormat/>
    <w:rsid w:val="00B7270A"/>
    <w:pPr>
      <w:keepNext/>
      <w:keepLines/>
      <w:spacing w:before="40"/>
      <w:outlineLvl w:val="5"/>
    </w:pPr>
    <w:rPr>
      <w:rFonts w:asciiTheme="minorHAnsi" w:eastAsiaTheme="majorEastAsia" w:hAnsiTheme="minorHAnsi" w:cstheme="majorBidi"/>
      <w:i/>
      <w:iCs/>
      <w:color w:val="595959" w:themeColor="text1" w:themeTint="A6"/>
      <w:lang w:val="en-AU"/>
    </w:rPr>
  </w:style>
  <w:style w:type="paragraph" w:styleId="Heading7">
    <w:name w:val="heading 7"/>
    <w:basedOn w:val="Normal"/>
    <w:next w:val="Normal"/>
    <w:link w:val="Heading7Char"/>
    <w:uiPriority w:val="9"/>
    <w:semiHidden/>
    <w:unhideWhenUsed/>
    <w:qFormat/>
    <w:rsid w:val="00B7270A"/>
    <w:pPr>
      <w:keepNext/>
      <w:keepLines/>
      <w:spacing w:before="40"/>
      <w:outlineLvl w:val="6"/>
    </w:pPr>
    <w:rPr>
      <w:rFonts w:asciiTheme="minorHAnsi" w:eastAsiaTheme="majorEastAsia" w:hAnsiTheme="minorHAnsi" w:cstheme="majorBidi"/>
      <w:color w:val="595959" w:themeColor="text1" w:themeTint="A6"/>
      <w:lang w:val="en-AU"/>
    </w:rPr>
  </w:style>
  <w:style w:type="paragraph" w:styleId="Heading8">
    <w:name w:val="heading 8"/>
    <w:basedOn w:val="Normal"/>
    <w:next w:val="Normal"/>
    <w:link w:val="Heading8Char"/>
    <w:uiPriority w:val="9"/>
    <w:semiHidden/>
    <w:unhideWhenUsed/>
    <w:qFormat/>
    <w:rsid w:val="00B7270A"/>
    <w:pPr>
      <w:keepNext/>
      <w:keepLines/>
      <w:outlineLvl w:val="7"/>
    </w:pPr>
    <w:rPr>
      <w:rFonts w:asciiTheme="minorHAnsi" w:eastAsiaTheme="majorEastAsia" w:hAnsiTheme="minorHAnsi" w:cstheme="majorBidi"/>
      <w:i/>
      <w:iCs/>
      <w:color w:val="272727" w:themeColor="text1" w:themeTint="D8"/>
      <w:lang w:val="en-AU"/>
    </w:rPr>
  </w:style>
  <w:style w:type="paragraph" w:styleId="Heading9">
    <w:name w:val="heading 9"/>
    <w:basedOn w:val="Normal"/>
    <w:next w:val="Normal"/>
    <w:link w:val="Heading9Char"/>
    <w:uiPriority w:val="9"/>
    <w:semiHidden/>
    <w:unhideWhenUsed/>
    <w:qFormat/>
    <w:rsid w:val="00B7270A"/>
    <w:pPr>
      <w:keepNext/>
      <w:keepLines/>
      <w:outlineLvl w:val="8"/>
    </w:pPr>
    <w:rPr>
      <w:rFonts w:asciiTheme="minorHAnsi" w:eastAsiaTheme="majorEastAsia" w:hAnsiTheme="minorHAnsi" w:cstheme="majorBidi"/>
      <w:color w:val="272727" w:themeColor="text1" w:themeTint="D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70A"/>
    <w:rPr>
      <w:rFonts w:eastAsiaTheme="majorEastAsia" w:cstheme="majorBidi"/>
      <w:color w:val="272727" w:themeColor="text1" w:themeTint="D8"/>
    </w:rPr>
  </w:style>
  <w:style w:type="paragraph" w:styleId="Title">
    <w:name w:val="Title"/>
    <w:basedOn w:val="Normal"/>
    <w:next w:val="Normal"/>
    <w:link w:val="TitleChar"/>
    <w:uiPriority w:val="10"/>
    <w:qFormat/>
    <w:rsid w:val="00B7270A"/>
    <w:pPr>
      <w:spacing w:after="80"/>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B72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70A"/>
    <w:pPr>
      <w:numPr>
        <w:ilvl w:val="1"/>
      </w:numPr>
      <w:spacing w:after="160"/>
    </w:pPr>
    <w:rPr>
      <w:rFonts w:asciiTheme="minorHAnsi" w:eastAsiaTheme="majorEastAsia" w:hAnsiTheme="minorHAnsi"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B72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70A"/>
    <w:pPr>
      <w:spacing w:before="160" w:after="160"/>
      <w:jc w:val="center"/>
    </w:pPr>
    <w:rPr>
      <w:rFonts w:asciiTheme="minorHAnsi" w:eastAsiaTheme="minorHAnsi" w:hAnsiTheme="minorHAnsi" w:cstheme="minorBidi"/>
      <w:i/>
      <w:iCs/>
      <w:color w:val="404040" w:themeColor="text1" w:themeTint="BF"/>
      <w:lang w:val="en-AU"/>
    </w:rPr>
  </w:style>
  <w:style w:type="character" w:customStyle="1" w:styleId="QuoteChar">
    <w:name w:val="Quote Char"/>
    <w:basedOn w:val="DefaultParagraphFont"/>
    <w:link w:val="Quote"/>
    <w:uiPriority w:val="29"/>
    <w:rsid w:val="00B7270A"/>
    <w:rPr>
      <w:i/>
      <w:iCs/>
      <w:color w:val="404040" w:themeColor="text1" w:themeTint="BF"/>
    </w:rPr>
  </w:style>
  <w:style w:type="paragraph" w:styleId="ListParagraph">
    <w:name w:val="List Paragraph"/>
    <w:basedOn w:val="Normal"/>
    <w:uiPriority w:val="34"/>
    <w:qFormat/>
    <w:rsid w:val="00B7270A"/>
    <w:pPr>
      <w:ind w:left="720"/>
      <w:contextualSpacing/>
    </w:pPr>
    <w:rPr>
      <w:rFonts w:asciiTheme="minorHAnsi" w:eastAsiaTheme="minorHAnsi" w:hAnsiTheme="minorHAnsi" w:cstheme="minorBidi"/>
      <w:lang w:val="en-AU"/>
    </w:rPr>
  </w:style>
  <w:style w:type="character" w:styleId="IntenseEmphasis">
    <w:name w:val="Intense Emphasis"/>
    <w:basedOn w:val="DefaultParagraphFont"/>
    <w:uiPriority w:val="21"/>
    <w:qFormat/>
    <w:rsid w:val="00B7270A"/>
    <w:rPr>
      <w:i/>
      <w:iCs/>
      <w:color w:val="0F4761" w:themeColor="accent1" w:themeShade="BF"/>
    </w:rPr>
  </w:style>
  <w:style w:type="paragraph" w:styleId="IntenseQuote">
    <w:name w:val="Intense Quote"/>
    <w:basedOn w:val="Normal"/>
    <w:next w:val="Normal"/>
    <w:link w:val="IntenseQuoteChar"/>
    <w:uiPriority w:val="30"/>
    <w:qFormat/>
    <w:rsid w:val="00B7270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val="en-AU"/>
    </w:rPr>
  </w:style>
  <w:style w:type="character" w:customStyle="1" w:styleId="IntenseQuoteChar">
    <w:name w:val="Intense Quote Char"/>
    <w:basedOn w:val="DefaultParagraphFont"/>
    <w:link w:val="IntenseQuote"/>
    <w:uiPriority w:val="30"/>
    <w:rsid w:val="00B7270A"/>
    <w:rPr>
      <w:i/>
      <w:iCs/>
      <w:color w:val="0F4761" w:themeColor="accent1" w:themeShade="BF"/>
    </w:rPr>
  </w:style>
  <w:style w:type="character" w:styleId="IntenseReference">
    <w:name w:val="Intense Reference"/>
    <w:basedOn w:val="DefaultParagraphFont"/>
    <w:uiPriority w:val="32"/>
    <w:qFormat/>
    <w:rsid w:val="00B7270A"/>
    <w:rPr>
      <w:b/>
      <w:bCs/>
      <w:smallCaps/>
      <w:color w:val="0F4761" w:themeColor="accent1" w:themeShade="BF"/>
      <w:spacing w:val="5"/>
    </w:rPr>
  </w:style>
  <w:style w:type="paragraph" w:customStyle="1" w:styleId="Default">
    <w:name w:val="Default"/>
    <w:rsid w:val="00B7270A"/>
    <w:pPr>
      <w:widowControl w:val="0"/>
      <w:autoSpaceDE w:val="0"/>
      <w:autoSpaceDN w:val="0"/>
      <w:adjustRightInd w:val="0"/>
    </w:pPr>
    <w:rPr>
      <w:rFonts w:ascii="Calibri" w:eastAsia="Calibri" w:hAnsi="Calibri" w:cs="Calibri"/>
      <w:color w:val="000000"/>
      <w:lang w:val="en-US"/>
    </w:rPr>
  </w:style>
  <w:style w:type="paragraph" w:styleId="NormalWeb">
    <w:name w:val="Normal (Web)"/>
    <w:basedOn w:val="Normal"/>
    <w:uiPriority w:val="99"/>
    <w:unhideWhenUsed/>
    <w:rsid w:val="00B7270A"/>
    <w:pPr>
      <w:spacing w:before="100" w:beforeAutospacing="1" w:after="100" w:afterAutospacing="1"/>
    </w:pPr>
    <w:rPr>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 HUGHES GIBSON HUGHES</dc:creator>
  <cp:keywords/>
  <dc:description/>
  <cp:lastModifiedBy>TAYLA HUGHES GIBSON HUGHES</cp:lastModifiedBy>
  <cp:revision>5</cp:revision>
  <dcterms:created xsi:type="dcterms:W3CDTF">2025-09-02T07:11:00Z</dcterms:created>
  <dcterms:modified xsi:type="dcterms:W3CDTF">2025-09-02T07:34:00Z</dcterms:modified>
</cp:coreProperties>
</file>