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36C7" w14:textId="77777777" w:rsidR="0085758B" w:rsidRDefault="0085758B" w:rsidP="00C315D2">
      <w:pPr>
        <w:spacing w:after="0" w:line="240" w:lineRule="auto"/>
        <w:rPr>
          <w:rFonts w:ascii="Arial" w:eastAsia="Calibri" w:hAnsi="Arial" w:cs="Calibri"/>
          <w:b/>
          <w:bCs/>
          <w:kern w:val="0"/>
          <w:lang w:val="en-US"/>
          <w14:ligatures w14:val="none"/>
        </w:rPr>
      </w:pPr>
      <w:r w:rsidRPr="0085758B">
        <w:rPr>
          <w:rFonts w:ascii="Arial" w:eastAsia="Calibri" w:hAnsi="Arial" w:cs="Calibri"/>
          <w:b/>
          <w:bCs/>
          <w:kern w:val="0"/>
          <w:lang w:val="en-US"/>
          <w14:ligatures w14:val="none"/>
        </w:rPr>
        <w:t>Design of Experiment-Based Development of Spray-Dried Sumatriptan Particles for Enhanced Nose-to-Brain Delivery</w:t>
      </w:r>
    </w:p>
    <w:p w14:paraId="79141BD9" w14:textId="3E0BB93B" w:rsidR="00C315D2" w:rsidRPr="00C315D2" w:rsidRDefault="00C315D2" w:rsidP="00C315D2">
      <w:pPr>
        <w:spacing w:after="0" w:line="240" w:lineRule="auto"/>
        <w:rPr>
          <w:rFonts w:ascii="Arial" w:eastAsia="Calibri" w:hAnsi="Arial" w:cs="Calibri"/>
          <w:bCs/>
          <w:kern w:val="0"/>
          <w:sz w:val="20"/>
          <w:szCs w:val="20"/>
          <w14:ligatures w14:val="none"/>
        </w:rPr>
      </w:pPr>
      <w:proofErr w:type="spellStart"/>
      <w:r w:rsidRPr="00C315D2">
        <w:rPr>
          <w:rFonts w:ascii="Arial" w:eastAsia="Calibri" w:hAnsi="Arial" w:cs="Calibri"/>
          <w:b/>
          <w:kern w:val="0"/>
          <w:sz w:val="20"/>
          <w:szCs w:val="20"/>
          <w:u w:val="single"/>
          <w14:ligatures w14:val="none"/>
        </w:rPr>
        <w:t>J</w:t>
      </w:r>
      <w:r w:rsidR="00E23CA3">
        <w:rPr>
          <w:rFonts w:ascii="Arial" w:eastAsia="Calibri" w:hAnsi="Arial" w:cs="Calibri"/>
          <w:b/>
          <w:kern w:val="0"/>
          <w:sz w:val="20"/>
          <w:szCs w:val="20"/>
          <w:u w:val="single"/>
          <w14:ligatures w14:val="none"/>
        </w:rPr>
        <w:t>ieun</w:t>
      </w:r>
      <w:proofErr w:type="spellEnd"/>
      <w:r w:rsidR="00E23CA3">
        <w:rPr>
          <w:rFonts w:ascii="Arial" w:eastAsia="Calibri" w:hAnsi="Arial" w:cs="Calibri"/>
          <w:b/>
          <w:kern w:val="0"/>
          <w:sz w:val="20"/>
          <w:szCs w:val="20"/>
          <w:u w:val="single"/>
          <w14:ligatures w14:val="none"/>
        </w:rPr>
        <w:t xml:space="preserve"> Jeong</w:t>
      </w:r>
      <w:r w:rsidRPr="00C315D2">
        <w:rPr>
          <w:rFonts w:ascii="Arial" w:eastAsia="Calibri" w:hAnsi="Arial" w:cs="Calibri"/>
          <w:b/>
          <w:kern w:val="0"/>
          <w:sz w:val="20"/>
          <w:szCs w:val="20"/>
          <w:u w:val="single"/>
          <w:vertAlign w:val="superscript"/>
          <w14:ligatures w14:val="none"/>
        </w:rPr>
        <w:t>1</w:t>
      </w:r>
      <w:r w:rsidRPr="00C315D2">
        <w:rPr>
          <w:rFonts w:ascii="Arial" w:eastAsia="Calibri" w:hAnsi="Arial" w:cs="Calibri"/>
          <w:bCs/>
          <w:kern w:val="0"/>
          <w:sz w:val="20"/>
          <w:szCs w:val="20"/>
          <w14:ligatures w14:val="none"/>
        </w:rPr>
        <w:t xml:space="preserve">, </w:t>
      </w:r>
      <w:proofErr w:type="spellStart"/>
      <w:r w:rsidR="00E23CA3" w:rsidRPr="00E23CA3">
        <w:rPr>
          <w:rFonts w:ascii="Arial" w:eastAsia="Calibri" w:hAnsi="Arial" w:cs="Calibri"/>
          <w:bCs/>
          <w:kern w:val="0"/>
          <w:sz w:val="20"/>
          <w:szCs w:val="20"/>
          <w14:ligatures w14:val="none"/>
        </w:rPr>
        <w:t>Heejun</w:t>
      </w:r>
      <w:proofErr w:type="spellEnd"/>
      <w:r w:rsidR="00E23CA3" w:rsidRPr="00E23CA3">
        <w:rPr>
          <w:rFonts w:ascii="Arial" w:eastAsia="Calibri" w:hAnsi="Arial" w:cs="Calibri"/>
          <w:bCs/>
          <w:kern w:val="0"/>
          <w:sz w:val="20"/>
          <w:szCs w:val="20"/>
          <w14:ligatures w14:val="none"/>
        </w:rPr>
        <w:t xml:space="preserve"> Park</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w:t>
      </w:r>
    </w:p>
    <w:p w14:paraId="137D4547" w14:textId="11DDB043" w:rsidR="00C315D2" w:rsidRPr="00E23CA3" w:rsidRDefault="00036394" w:rsidP="4FE71DF4">
      <w:pPr>
        <w:spacing w:after="0" w:line="240" w:lineRule="auto"/>
        <w:rPr>
          <w:rFonts w:ascii="Arial" w:eastAsia="Calibri" w:hAnsi="Arial" w:cs="Calibri"/>
          <w:bCs/>
          <w:kern w:val="0"/>
          <w:sz w:val="20"/>
          <w:szCs w:val="20"/>
          <w14:ligatures w14:val="none"/>
        </w:rPr>
      </w:pPr>
      <w:r w:rsidRPr="00036394">
        <w:rPr>
          <w:rFonts w:ascii="Arial" w:eastAsia="Calibri" w:hAnsi="Arial" w:cs="Calibri"/>
          <w:bCs/>
          <w:kern w:val="0"/>
          <w:sz w:val="20"/>
          <w:szCs w:val="20"/>
          <w14:ligatures w14:val="none"/>
        </w:rPr>
        <w:t xml:space="preserve">Pharmaceutical Research Laboratory, Department of Pharmacy, </w:t>
      </w:r>
      <w:proofErr w:type="spellStart"/>
      <w:r w:rsidRPr="00036394">
        <w:rPr>
          <w:rFonts w:ascii="Arial" w:eastAsia="Calibri" w:hAnsi="Arial" w:cs="Calibri"/>
          <w:bCs/>
          <w:kern w:val="0"/>
          <w:sz w:val="20"/>
          <w:szCs w:val="20"/>
          <w14:ligatures w14:val="none"/>
        </w:rPr>
        <w:t>Duksung</w:t>
      </w:r>
      <w:proofErr w:type="spellEnd"/>
      <w:r w:rsidRPr="00036394">
        <w:rPr>
          <w:rFonts w:ascii="Arial" w:eastAsia="Calibri" w:hAnsi="Arial" w:cs="Calibri"/>
          <w:bCs/>
          <w:kern w:val="0"/>
          <w:sz w:val="20"/>
          <w:szCs w:val="20"/>
          <w14:ligatures w14:val="none"/>
        </w:rPr>
        <w:t xml:space="preserve"> Women’s University, Seoul, </w:t>
      </w:r>
      <w:r w:rsidR="00B54682" w:rsidRPr="00B54682">
        <w:rPr>
          <w:rFonts w:ascii="Arial" w:eastAsia="Calibri" w:hAnsi="Arial" w:cs="Calibri"/>
          <w:bCs/>
          <w:kern w:val="0"/>
          <w:sz w:val="20"/>
          <w:szCs w:val="20"/>
          <w14:ligatures w14:val="none"/>
        </w:rPr>
        <w:t xml:space="preserve">South </w:t>
      </w:r>
      <w:r w:rsidRPr="00036394">
        <w:rPr>
          <w:rFonts w:ascii="Arial" w:eastAsia="Calibri" w:hAnsi="Arial" w:cs="Calibri"/>
          <w:bCs/>
          <w:kern w:val="0"/>
          <w:sz w:val="20"/>
          <w:szCs w:val="20"/>
          <w14:ligatures w14:val="none"/>
        </w:rPr>
        <w:t>Korea</w:t>
      </w:r>
      <w:r w:rsidR="00E23CA3" w:rsidRPr="00C315D2">
        <w:rPr>
          <w:rFonts w:ascii="Arial" w:eastAsia="Calibri" w:hAnsi="Arial" w:cs="Calibri"/>
          <w:bCs/>
          <w:kern w:val="0"/>
          <w:sz w:val="20"/>
          <w:szCs w:val="20"/>
          <w:vertAlign w:val="superscript"/>
          <w14:ligatures w14:val="none"/>
        </w:rPr>
        <w:t>1</w:t>
      </w:r>
      <w:r w:rsidR="00E23CA3">
        <w:rPr>
          <w:rFonts w:ascii="Arial" w:eastAsia="Calibri" w:hAnsi="Arial" w:cs="Calibri"/>
          <w:bCs/>
          <w:kern w:val="0"/>
          <w:sz w:val="20"/>
          <w:szCs w:val="20"/>
          <w14:ligatures w14:val="none"/>
        </w:rPr>
        <w:t>.</w:t>
      </w:r>
    </w:p>
    <w:p w14:paraId="2DD37039" w14:textId="696422AE"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2E529B5E" w:rsidR="00C315D2" w:rsidRPr="00C315D2" w:rsidRDefault="00B8473A" w:rsidP="008239FB">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8239FB" w:rsidRPr="008239FB">
        <w:rPr>
          <w:rFonts w:ascii="Arial" w:eastAsia="Calibri" w:hAnsi="Arial" w:cs="Calibri"/>
          <w:bCs/>
          <w:kern w:val="0"/>
          <w:sz w:val="20"/>
          <w:szCs w:val="20"/>
          <w14:ligatures w14:val="none"/>
        </w:rPr>
        <w:t>Sumatriptan, a therapeutic agent for migraine, is classified as a Biopharmaceutics Classification System</w:t>
      </w:r>
      <w:r w:rsidR="001229E9">
        <w:rPr>
          <w:rFonts w:ascii="Arial" w:eastAsia="Calibri" w:hAnsi="Arial" w:cs="Calibri"/>
          <w:bCs/>
          <w:kern w:val="0"/>
          <w:sz w:val="20"/>
          <w:szCs w:val="20"/>
          <w14:ligatures w14:val="none"/>
        </w:rPr>
        <w:t xml:space="preserve"> </w:t>
      </w:r>
      <w:r w:rsidR="008239FB" w:rsidRPr="008239FB">
        <w:rPr>
          <w:rFonts w:ascii="Arial" w:eastAsia="Calibri" w:hAnsi="Arial" w:cs="Calibri"/>
          <w:bCs/>
          <w:kern w:val="0"/>
          <w:sz w:val="20"/>
          <w:szCs w:val="20"/>
          <w14:ligatures w14:val="none"/>
        </w:rPr>
        <w:t>Class III drug, characterized by limited permeability and therapeutic efficacy. In this study, various permeation enhancers were screened to improve mucosal permeability, and porous particles were designed to enable direct nose-to-brain delivery by bypassing the blood–brain barrier (BBB)</w:t>
      </w:r>
      <w:r w:rsidR="00FE11CA">
        <w:rPr>
          <w:rFonts w:ascii="Arial" w:eastAsia="Calibri" w:hAnsi="Arial" w:cs="Calibri"/>
          <w:bCs/>
          <w:kern w:val="0"/>
          <w:sz w:val="20"/>
          <w:szCs w:val="20"/>
          <w14:ligatures w14:val="none"/>
        </w:rPr>
        <w:t xml:space="preserve">. </w:t>
      </w:r>
      <w:r w:rsidR="008239FB" w:rsidRPr="008239FB">
        <w:rPr>
          <w:rFonts w:ascii="Arial" w:eastAsia="Calibri" w:hAnsi="Arial" w:cs="Calibri"/>
          <w:bCs/>
          <w:kern w:val="0"/>
          <w:sz w:val="20"/>
          <w:szCs w:val="20"/>
          <w14:ligatures w14:val="none"/>
        </w:rPr>
        <w:t>To enhance intranasal delivery efficiency, inhalable porous particles were prepared via spray drying</w:t>
      </w:r>
      <w:r w:rsidR="006B3093">
        <w:rPr>
          <w:rFonts w:ascii="Arial" w:eastAsia="Calibri" w:hAnsi="Arial" w:cs="Calibri"/>
          <w:bCs/>
          <w:kern w:val="0"/>
          <w:sz w:val="20"/>
          <w:szCs w:val="20"/>
          <w14:ligatures w14:val="none"/>
        </w:rPr>
        <w:t xml:space="preserve"> (SD)</w:t>
      </w:r>
      <w:r w:rsidR="008239FB" w:rsidRPr="008239FB">
        <w:rPr>
          <w:rFonts w:ascii="Arial" w:eastAsia="Calibri" w:hAnsi="Arial" w:cs="Calibri"/>
          <w:bCs/>
          <w:kern w:val="0"/>
          <w:sz w:val="20"/>
          <w:szCs w:val="20"/>
          <w14:ligatures w14:val="none"/>
        </w:rPr>
        <w:t xml:space="preserve">, using mannitol as a carrier and ammonium carbonate as a </w:t>
      </w:r>
      <w:proofErr w:type="spellStart"/>
      <w:r w:rsidR="008239FB" w:rsidRPr="008239FB">
        <w:rPr>
          <w:rFonts w:ascii="Arial" w:eastAsia="Calibri" w:hAnsi="Arial" w:cs="Calibri"/>
          <w:bCs/>
          <w:kern w:val="0"/>
          <w:sz w:val="20"/>
          <w:szCs w:val="20"/>
          <w14:ligatures w14:val="none"/>
        </w:rPr>
        <w:t>porogen</w:t>
      </w:r>
      <w:proofErr w:type="spellEnd"/>
      <w:r w:rsidR="008239FB" w:rsidRPr="008239FB">
        <w:rPr>
          <w:rFonts w:ascii="Arial" w:eastAsia="Calibri" w:hAnsi="Arial" w:cs="Calibri"/>
          <w:bCs/>
          <w:kern w:val="0"/>
          <w:sz w:val="20"/>
          <w:szCs w:val="20"/>
          <w14:ligatures w14:val="none"/>
        </w:rPr>
        <w:t>.</w:t>
      </w:r>
      <w:r w:rsidR="00FE11CA">
        <w:rPr>
          <w:rFonts w:ascii="Arial" w:eastAsia="Calibri" w:hAnsi="Arial" w:cs="Calibri"/>
          <w:bCs/>
          <w:kern w:val="0"/>
          <w:sz w:val="20"/>
          <w:szCs w:val="20"/>
          <w14:ligatures w14:val="none"/>
        </w:rPr>
        <w:t xml:space="preserve"> </w:t>
      </w:r>
      <w:r w:rsidR="008239FB" w:rsidRPr="008239FB">
        <w:rPr>
          <w:rFonts w:ascii="Arial" w:eastAsia="Calibri" w:hAnsi="Arial" w:cs="Calibri"/>
          <w:bCs/>
          <w:kern w:val="0"/>
          <w:sz w:val="20"/>
          <w:szCs w:val="20"/>
          <w14:ligatures w14:val="none"/>
        </w:rPr>
        <w:t>The Design of Experiments (DoE) approach with a Box–Behnken Design (BBD) was applied for process variable screening.</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55296F10"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521F3B" w:rsidRPr="00521F3B">
        <w:rPr>
          <w:rFonts w:ascii="Arial" w:eastAsia="Calibri" w:hAnsi="Arial" w:cs="Calibri"/>
          <w:bCs/>
          <w:kern w:val="0"/>
          <w:sz w:val="20"/>
          <w:szCs w:val="20"/>
          <w14:ligatures w14:val="none"/>
        </w:rPr>
        <w:t xml:space="preserve">An aqueous solution containing 80% mannitol, ammonium carbonate, and 20% sumatriptan was prepared and spray-dried to obtain porous particles. The process was conducted under co-current flow conditions with a feed rate of 3 mL/min, atomizing pressure of 0.2 bar, inlet temperature of 90–100 °C, outlet temperature of 50–55 °C, and heated air flow of 0.4 m³/min.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2D91B19F"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234EA4" w:rsidRPr="00234EA4">
        <w:rPr>
          <w:rFonts w:ascii="Arial" w:eastAsia="Calibri" w:hAnsi="Arial" w:cs="Calibri"/>
          <w:kern w:val="0"/>
          <w:sz w:val="20"/>
          <w:szCs w:val="20"/>
          <w:lang w:val="en-US"/>
          <w14:ligatures w14:val="none"/>
        </w:rPr>
        <w:t xml:space="preserve">Among the permeation enhancers tested, AI and AL significantly improved permeability in SNF PAMPA, RPMI 2650 cell assays, and ex vivo porcine nasal mucosa. BBD analysis identified drug concentration and ethanol ratio as key factors affecting yield, particle size distribution, and surface properties of sumatriptan-loaded porous mannitol particles. Notably, a rare polymorphic transformation of mannitol from β-form to δ-form was observed during </w:t>
      </w:r>
      <w:r w:rsidR="00C9266C">
        <w:rPr>
          <w:rFonts w:ascii="Arial" w:eastAsia="Calibri" w:hAnsi="Arial" w:cs="Calibri"/>
          <w:kern w:val="0"/>
          <w:sz w:val="20"/>
          <w:szCs w:val="20"/>
          <w:lang w:val="en-US"/>
          <w14:ligatures w14:val="none"/>
        </w:rPr>
        <w:t>SD</w:t>
      </w:r>
      <w:r w:rsidR="00234EA4" w:rsidRPr="00234EA4">
        <w:rPr>
          <w:rFonts w:ascii="Arial" w:eastAsia="Calibri" w:hAnsi="Arial" w:cs="Calibri"/>
          <w:kern w:val="0"/>
          <w:sz w:val="20"/>
          <w:szCs w:val="20"/>
          <w:lang w:val="en-US"/>
          <w14:ligatures w14:val="none"/>
        </w:rPr>
        <w:t>. DSC analysis showed a distinct sumatriptan peak at 140 °C, with no detectable polymorphism in XRD and FTIR analyses.</w:t>
      </w:r>
    </w:p>
    <w:p w14:paraId="777A9E0F" w14:textId="66B3201D" w:rsidR="2021B9E9" w:rsidRDefault="2021B9E9" w:rsidP="2021B9E9">
      <w:pPr>
        <w:spacing w:after="0" w:line="240" w:lineRule="auto"/>
        <w:jc w:val="both"/>
        <w:rPr>
          <w:rFonts w:ascii="Arial" w:eastAsia="Calibri" w:hAnsi="Arial" w:cs="Calibri"/>
          <w:sz w:val="20"/>
          <w:szCs w:val="20"/>
          <w:lang w:val="en-US"/>
        </w:rPr>
      </w:pPr>
    </w:p>
    <w:p w14:paraId="37012700" w14:textId="5AE0BF40" w:rsidR="00C315D2" w:rsidRDefault="00E17549" w:rsidP="00C315D2">
      <w:pPr>
        <w:spacing w:after="0" w:line="240" w:lineRule="auto"/>
        <w:jc w:val="both"/>
        <w:rPr>
          <w:rFonts w:ascii="Arial" w:eastAsia="Calibri" w:hAnsi="Arial" w:cs="Calibri"/>
          <w:b/>
          <w:kern w:val="0"/>
          <w:sz w:val="20"/>
          <w:szCs w:val="20"/>
          <w14:ligatures w14:val="none"/>
        </w:rPr>
      </w:pPr>
      <w:r w:rsidRPr="00E17549">
        <w:rPr>
          <w:rFonts w:ascii="Arial" w:eastAsia="Calibri" w:hAnsi="Arial" w:cs="Calibri"/>
          <w:b/>
          <w:noProof/>
          <w:kern w:val="0"/>
          <w:sz w:val="20"/>
          <w:szCs w:val="20"/>
          <w14:ligatures w14:val="none"/>
        </w:rPr>
        <w:drawing>
          <wp:inline distT="0" distB="0" distL="0" distR="0" wp14:anchorId="22BB224B" wp14:editId="0B963F0E">
            <wp:extent cx="3000375" cy="1787261"/>
            <wp:effectExtent l="0" t="0" r="0" b="3810"/>
            <wp:docPr id="109" name="Google Shape;109;p1"/>
            <wp:cNvGraphicFramePr/>
            <a:graphic xmlns:a="http://schemas.openxmlformats.org/drawingml/2006/main">
              <a:graphicData uri="http://schemas.openxmlformats.org/drawingml/2006/picture">
                <pic:pic xmlns:pic="http://schemas.openxmlformats.org/drawingml/2006/picture">
                  <pic:nvPicPr>
                    <pic:cNvPr id="109" name="Google Shape;109;p1"/>
                    <pic:cNvPicPr preferRelativeResize="0"/>
                  </pic:nvPicPr>
                  <pic:blipFill rotWithShape="1">
                    <a:blip r:embed="rId10">
                      <a:alphaModFix/>
                    </a:blip>
                    <a:srcRect/>
                    <a:stretch/>
                  </pic:blipFill>
                  <pic:spPr>
                    <a:xfrm>
                      <a:off x="0" y="0"/>
                      <a:ext cx="3013037" cy="1794804"/>
                    </a:xfrm>
                    <a:prstGeom prst="rect">
                      <a:avLst/>
                    </a:prstGeom>
                    <a:noFill/>
                    <a:ln>
                      <a:noFill/>
                    </a:ln>
                  </pic:spPr>
                </pic:pic>
              </a:graphicData>
            </a:graphic>
          </wp:inline>
        </w:drawing>
      </w:r>
      <w:r w:rsidR="006B3093">
        <w:rPr>
          <w:rFonts w:ascii="Arial" w:eastAsia="맑은 고딕" w:hAnsi="Arial" w:cs="Calibri" w:hint="eastAsia"/>
          <w:b/>
          <w:kern w:val="0"/>
          <w:sz w:val="20"/>
          <w:szCs w:val="20"/>
          <w:lang w:eastAsia="ko-KR"/>
          <w14:ligatures w14:val="none"/>
        </w:rPr>
        <w:t xml:space="preserve"> </w:t>
      </w:r>
      <w:r w:rsidR="006B3093">
        <w:rPr>
          <w:rFonts w:ascii="Arial" w:eastAsia="맑은 고딕" w:hAnsi="Arial" w:cs="Calibri"/>
          <w:b/>
          <w:kern w:val="0"/>
          <w:sz w:val="20"/>
          <w:szCs w:val="20"/>
          <w:lang w:eastAsia="ko-KR"/>
          <w14:ligatures w14:val="none"/>
        </w:rPr>
        <w:t xml:space="preserve">  </w:t>
      </w:r>
      <w:r w:rsidR="006B3093">
        <w:rPr>
          <w:rFonts w:ascii="Arial" w:eastAsia="Calibri" w:hAnsi="Arial" w:cs="Calibri"/>
          <w:b/>
          <w:noProof/>
          <w:kern w:val="0"/>
          <w:sz w:val="20"/>
          <w:szCs w:val="20"/>
          <w14:ligatures w14:val="none"/>
        </w:rPr>
        <w:drawing>
          <wp:inline distT="0" distB="0" distL="0" distR="0" wp14:anchorId="6C2DB501" wp14:editId="5424BDDE">
            <wp:extent cx="2333625" cy="1835259"/>
            <wp:effectExtent l="0" t="0" r="0" b="0"/>
            <wp:docPr id="581500366" name="그림 58150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5520" cy="1868207"/>
                    </a:xfrm>
                    <a:prstGeom prst="rect">
                      <a:avLst/>
                    </a:prstGeom>
                    <a:noFill/>
                  </pic:spPr>
                </pic:pic>
              </a:graphicData>
            </a:graphic>
          </wp:inline>
        </w:drawing>
      </w:r>
    </w:p>
    <w:p w14:paraId="5C9EDD42" w14:textId="54E96B3E" w:rsidR="006B3093" w:rsidRPr="00936D4C" w:rsidRDefault="00C315D2" w:rsidP="006B3093">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E17549" w:rsidRPr="00E17549">
        <w:rPr>
          <w:rFonts w:ascii="Arial" w:eastAsia="Calibri" w:hAnsi="Arial" w:cs="Calibri"/>
          <w:kern w:val="0"/>
          <w:sz w:val="20"/>
          <w:szCs w:val="20"/>
          <w:lang w:val="en-GB"/>
          <w14:ligatures w14:val="none"/>
        </w:rPr>
        <w:t>Nasal Drug Delivery for Enhanced Brain Targeting</w:t>
      </w:r>
      <w:r w:rsidR="00E17549">
        <w:rPr>
          <w:rFonts w:ascii="맑은 고딕" w:eastAsia="맑은 고딕" w:hAnsi="맑은 고딕" w:cs="Calibri" w:hint="eastAsia"/>
          <w:kern w:val="0"/>
          <w:sz w:val="20"/>
          <w:szCs w:val="20"/>
          <w:lang w:val="en-GB" w:eastAsia="ko-KR"/>
          <w14:ligatures w14:val="none"/>
        </w:rPr>
        <w:t>.</w:t>
      </w:r>
      <w:r w:rsidR="006B3093">
        <w:rPr>
          <w:rFonts w:ascii="맑은 고딕" w:eastAsia="맑은 고딕" w:hAnsi="맑은 고딕" w:cs="Calibri"/>
          <w:kern w:val="0"/>
          <w:sz w:val="20"/>
          <w:szCs w:val="20"/>
          <w:lang w:val="en-GB" w:eastAsia="ko-KR"/>
          <w14:ligatures w14:val="none"/>
        </w:rPr>
        <w:t xml:space="preserve"> </w:t>
      </w:r>
      <w:r w:rsidR="006B3093" w:rsidRPr="2021B9E9">
        <w:rPr>
          <w:rFonts w:ascii="Arial" w:eastAsia="Calibri" w:hAnsi="Arial" w:cs="Calibri"/>
          <w:b/>
          <w:bCs/>
          <w:kern w:val="0"/>
          <w:sz w:val="20"/>
          <w:szCs w:val="20"/>
          <w:lang w:val="en-GB"/>
          <w14:ligatures w14:val="none"/>
        </w:rPr>
        <w:t xml:space="preserve">Figure </w:t>
      </w:r>
      <w:r w:rsidR="006B3093">
        <w:rPr>
          <w:rFonts w:ascii="Arial" w:eastAsia="Calibri" w:hAnsi="Arial" w:cs="Calibri"/>
          <w:b/>
          <w:bCs/>
          <w:kern w:val="0"/>
          <w:sz w:val="20"/>
          <w:szCs w:val="20"/>
          <w:lang w:val="en-GB"/>
          <w14:ligatures w14:val="none"/>
        </w:rPr>
        <w:t>2</w:t>
      </w:r>
      <w:r w:rsidR="006B3093" w:rsidRPr="2021B9E9">
        <w:rPr>
          <w:rFonts w:ascii="Arial" w:eastAsia="Calibri" w:hAnsi="Arial" w:cs="Calibri"/>
          <w:b/>
          <w:bCs/>
          <w:kern w:val="0"/>
          <w:sz w:val="20"/>
          <w:szCs w:val="20"/>
          <w:lang w:val="en-GB"/>
          <w14:ligatures w14:val="none"/>
        </w:rPr>
        <w:t xml:space="preserve">. </w:t>
      </w:r>
      <w:r w:rsidR="006B3093" w:rsidRPr="006B3093">
        <w:rPr>
          <w:rFonts w:ascii="Arial" w:eastAsia="Calibri" w:hAnsi="Arial" w:cs="Calibri"/>
          <w:kern w:val="0"/>
          <w:sz w:val="20"/>
          <w:szCs w:val="20"/>
          <w:lang w:val="en-GB"/>
          <w14:ligatures w14:val="none"/>
        </w:rPr>
        <w:t>Preparation of formulations</w:t>
      </w:r>
      <w:r w:rsidR="006B3093">
        <w:rPr>
          <w:rFonts w:ascii="Arial" w:eastAsia="Calibri" w:hAnsi="Arial" w:cs="Calibri"/>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AF10CAD" w14:textId="2395FCDA" w:rsidR="00C315D2" w:rsidRDefault="00B8473A"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6B3093">
        <w:rPr>
          <w:rFonts w:ascii="Arial" w:eastAsia="Calibri" w:hAnsi="Arial" w:cs="Calibri"/>
          <w:bCs/>
          <w:kern w:val="0"/>
          <w:sz w:val="20"/>
          <w:szCs w:val="20"/>
          <w14:ligatures w14:val="none"/>
        </w:rPr>
        <w:t>BBD</w:t>
      </w:r>
      <w:r w:rsidR="00352BC3" w:rsidRPr="00352BC3">
        <w:rPr>
          <w:rFonts w:ascii="Arial" w:eastAsia="Calibri" w:hAnsi="Arial" w:cs="Calibri"/>
          <w:bCs/>
          <w:kern w:val="0"/>
          <w:sz w:val="20"/>
          <w:szCs w:val="20"/>
          <w14:ligatures w14:val="none"/>
        </w:rPr>
        <w:t xml:space="preserve"> and solid-state analyses revealed that sumatriptan interacts with porous mannitol, inducing polymorphic transitions during </w:t>
      </w:r>
      <w:r w:rsidR="00C9266C">
        <w:rPr>
          <w:rFonts w:ascii="Arial" w:eastAsia="Calibri" w:hAnsi="Arial" w:cs="Calibri"/>
          <w:bCs/>
          <w:kern w:val="0"/>
          <w:sz w:val="20"/>
          <w:szCs w:val="20"/>
          <w14:ligatures w14:val="none"/>
        </w:rPr>
        <w:t>SD</w:t>
      </w:r>
      <w:r w:rsidR="00352BC3" w:rsidRPr="00352BC3">
        <w:rPr>
          <w:rFonts w:ascii="Arial" w:eastAsia="Calibri" w:hAnsi="Arial" w:cs="Calibri"/>
          <w:bCs/>
          <w:kern w:val="0"/>
          <w:sz w:val="20"/>
          <w:szCs w:val="20"/>
          <w14:ligatures w14:val="none"/>
        </w:rPr>
        <w:t xml:space="preserve">. Permeability screening based on the </w:t>
      </w:r>
      <w:r w:rsidR="006B3093">
        <w:rPr>
          <w:rFonts w:ascii="Arial" w:eastAsia="Calibri" w:hAnsi="Arial" w:cs="Calibri"/>
          <w:bCs/>
          <w:kern w:val="0"/>
          <w:sz w:val="20"/>
          <w:szCs w:val="20"/>
          <w14:ligatures w14:val="none"/>
        </w:rPr>
        <w:t>DoE</w:t>
      </w:r>
      <w:r w:rsidR="00352BC3" w:rsidRPr="00352BC3">
        <w:rPr>
          <w:rFonts w:ascii="Arial" w:eastAsia="Calibri" w:hAnsi="Arial" w:cs="Calibri"/>
          <w:bCs/>
          <w:kern w:val="0"/>
          <w:sz w:val="20"/>
          <w:szCs w:val="20"/>
          <w14:ligatures w14:val="none"/>
        </w:rPr>
        <w:t xml:space="preserve"> approach identified effective strategies to enhance drug absorption. These findings support the future development of optimized porous mannitol particles co-loaded with permeability enhancers and sumatriptan for improved drug delivery.</w:t>
      </w:r>
      <w:r w:rsidR="00352BC3" w:rsidRPr="00C315D2">
        <w:rPr>
          <w:rFonts w:ascii="Arial" w:eastAsia="Calibri" w:hAnsi="Arial" w:cs="Calibri"/>
          <w:b/>
          <w:kern w:val="0"/>
          <w:sz w:val="20"/>
          <w:szCs w:val="20"/>
          <w14:ligatures w14:val="none"/>
        </w:rPr>
        <w:t xml:space="preserve"> </w:t>
      </w:r>
    </w:p>
    <w:p w14:paraId="4C120532" w14:textId="77777777" w:rsidR="00036394" w:rsidRDefault="00036394" w:rsidP="00C315D2">
      <w:pPr>
        <w:spacing w:after="0" w:line="240" w:lineRule="auto"/>
        <w:jc w:val="both"/>
        <w:rPr>
          <w:rFonts w:ascii="Arial" w:eastAsia="Calibri" w:hAnsi="Arial" w:cs="Calibri"/>
          <w:b/>
          <w:kern w:val="0"/>
          <w:sz w:val="20"/>
          <w:szCs w:val="20"/>
          <w14:ligatures w14:val="none"/>
        </w:rPr>
      </w:pPr>
    </w:p>
    <w:p w14:paraId="0602873E" w14:textId="64139BBC" w:rsidR="001F78DD" w:rsidRDefault="00036394" w:rsidP="00C315D2">
      <w:pPr>
        <w:spacing w:after="0" w:line="240" w:lineRule="auto"/>
        <w:jc w:val="both"/>
        <w:rPr>
          <w:rFonts w:ascii="Arial" w:eastAsia="Calibri" w:hAnsi="Arial" w:cs="Calibri"/>
          <w:bCs/>
          <w:kern w:val="0"/>
          <w:sz w:val="20"/>
          <w:szCs w:val="20"/>
          <w:lang w:val="en-US"/>
          <w14:ligatures w14:val="none"/>
        </w:rPr>
      </w:pPr>
      <w:r w:rsidRPr="00036394">
        <w:rPr>
          <w:rFonts w:ascii="Arial" w:eastAsia="Calibri" w:hAnsi="Arial" w:cs="Calibri"/>
          <w:b/>
          <w:bCs/>
          <w:kern w:val="0"/>
          <w:sz w:val="20"/>
          <w:szCs w:val="20"/>
          <w:lang w:val="en-US"/>
          <w14:ligatures w14:val="none"/>
        </w:rPr>
        <w:t>Acknowledgements</w:t>
      </w:r>
      <w:r>
        <w:rPr>
          <w:rFonts w:ascii="Arial" w:eastAsia="Calibri" w:hAnsi="Arial" w:cs="Calibri"/>
          <w:b/>
          <w:bCs/>
          <w:kern w:val="0"/>
          <w:sz w:val="20"/>
          <w:szCs w:val="20"/>
          <w:lang w:val="en-US"/>
          <w14:ligatures w14:val="none"/>
        </w:rPr>
        <w:t xml:space="preserve"> </w:t>
      </w:r>
      <w:r w:rsidRPr="00036394">
        <w:rPr>
          <w:rFonts w:ascii="Arial" w:eastAsia="Calibri" w:hAnsi="Arial" w:cs="Calibri"/>
          <w:bCs/>
          <w:kern w:val="0"/>
          <w:sz w:val="20"/>
          <w:szCs w:val="20"/>
          <w:lang w:val="en-US"/>
          <w14:ligatures w14:val="none"/>
        </w:rPr>
        <w:t>This work was supported by the National Research Foundation of Korea (NRF) grant funded by the Korea government (MSIT) (No.2022R1C1C1010130). This work was supported by the Korea Basic Science Institute (National R</w:t>
      </w:r>
      <w:bookmarkStart w:id="0" w:name="_GoBack"/>
      <w:bookmarkEnd w:id="0"/>
      <w:r w:rsidRPr="00036394">
        <w:rPr>
          <w:rFonts w:ascii="Arial" w:eastAsia="Calibri" w:hAnsi="Arial" w:cs="Calibri"/>
          <w:bCs/>
          <w:kern w:val="0"/>
          <w:sz w:val="20"/>
          <w:szCs w:val="20"/>
          <w:lang w:val="en-US"/>
          <w14:ligatures w14:val="none"/>
        </w:rPr>
        <w:t>esearch Facilities and Equipment Center) grant funded by the Korea government (MSIT) (No.RS-2024-00404864). This research was supported by the Technol-</w:t>
      </w:r>
      <w:proofErr w:type="spellStart"/>
      <w:r w:rsidRPr="00036394">
        <w:rPr>
          <w:rFonts w:ascii="Arial" w:eastAsia="Calibri" w:hAnsi="Arial" w:cs="Calibri"/>
          <w:bCs/>
          <w:kern w:val="0"/>
          <w:sz w:val="20"/>
          <w:szCs w:val="20"/>
          <w:lang w:val="en-US"/>
          <w14:ligatures w14:val="none"/>
        </w:rPr>
        <w:t>ogy</w:t>
      </w:r>
      <w:proofErr w:type="spellEnd"/>
      <w:r w:rsidRPr="00036394">
        <w:rPr>
          <w:rFonts w:ascii="Arial" w:eastAsia="Calibri" w:hAnsi="Arial" w:cs="Calibri"/>
          <w:bCs/>
          <w:kern w:val="0"/>
          <w:sz w:val="20"/>
          <w:szCs w:val="20"/>
          <w:lang w:val="en-US"/>
          <w14:ligatures w14:val="none"/>
        </w:rPr>
        <w:t xml:space="preserve"> Innovation Program (RS-2025-11572968), funded by the Ministry of Trade, Industry and Energy (MOTIE, Korea).</w:t>
      </w:r>
    </w:p>
    <w:p w14:paraId="39D93737" w14:textId="77777777" w:rsidR="00036394" w:rsidRPr="00036394" w:rsidRDefault="00036394" w:rsidP="00C315D2">
      <w:pPr>
        <w:spacing w:after="0" w:line="240" w:lineRule="auto"/>
        <w:jc w:val="both"/>
        <w:rPr>
          <w:rFonts w:ascii="Arial" w:eastAsia="Calibri" w:hAnsi="Arial" w:cs="Calibri"/>
          <w:b/>
          <w:kern w:val="0"/>
          <w:sz w:val="20"/>
          <w:szCs w:val="20"/>
          <w14:ligatures w14:val="none"/>
        </w:rPr>
      </w:pPr>
    </w:p>
    <w:p w14:paraId="2C801966" w14:textId="2D621B6F"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6921507C"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proofErr w:type="spellStart"/>
      <w:r w:rsidR="00E17549" w:rsidRPr="00E17549">
        <w:rPr>
          <w:rFonts w:ascii="Arial" w:eastAsia="Calibri" w:hAnsi="Arial" w:cs="Calibri"/>
          <w:bCs/>
          <w:kern w:val="0"/>
          <w:sz w:val="20"/>
          <w:szCs w:val="20"/>
          <w:lang w:val="en-US"/>
          <w14:ligatures w14:val="none"/>
        </w:rPr>
        <w:t>Masjedi</w:t>
      </w:r>
      <w:proofErr w:type="spellEnd"/>
      <w:r w:rsidR="00E17549" w:rsidRPr="00E17549">
        <w:rPr>
          <w:rFonts w:ascii="Arial" w:eastAsia="Calibri" w:hAnsi="Arial" w:cs="Calibri"/>
          <w:bCs/>
          <w:kern w:val="0"/>
          <w:sz w:val="20"/>
          <w:szCs w:val="20"/>
          <w:lang w:val="en-US"/>
          <w14:ligatures w14:val="none"/>
        </w:rPr>
        <w:t xml:space="preserve"> M</w:t>
      </w:r>
      <w:r w:rsidR="00177EE1">
        <w:rPr>
          <w:rFonts w:ascii="맑은 고딕" w:eastAsia="맑은 고딕" w:hAnsi="맑은 고딕" w:cs="Calibri" w:hint="eastAsia"/>
          <w:bCs/>
          <w:kern w:val="0"/>
          <w:sz w:val="20"/>
          <w:szCs w:val="20"/>
          <w:lang w:val="en-US" w:eastAsia="ko-KR"/>
          <w14:ligatures w14:val="none"/>
        </w:rPr>
        <w:t>.</w:t>
      </w:r>
      <w:r w:rsidR="00177EE1">
        <w:rPr>
          <w:rFonts w:ascii="Arial" w:eastAsia="Calibri" w:hAnsi="Arial" w:cs="Calibri"/>
          <w:bCs/>
          <w:kern w:val="0"/>
          <w:sz w:val="20"/>
          <w:szCs w:val="20"/>
          <w:lang w:val="en-US"/>
          <w14:ligatures w14:val="none"/>
        </w:rPr>
        <w:t xml:space="preserve"> </w:t>
      </w:r>
      <w:r w:rsidR="00177EE1" w:rsidRPr="00C315D2">
        <w:rPr>
          <w:rFonts w:ascii="Arial" w:eastAsia="Calibri" w:hAnsi="Arial" w:cs="Calibri"/>
          <w:bCs/>
          <w:kern w:val="0"/>
          <w:sz w:val="20"/>
          <w:szCs w:val="20"/>
          <w:lang w:val="en-US"/>
          <w14:ligatures w14:val="none"/>
        </w:rPr>
        <w:t xml:space="preserve">et al </w:t>
      </w:r>
      <w:r w:rsidR="00E17549" w:rsidRPr="00E17549">
        <w:rPr>
          <w:rFonts w:ascii="Arial" w:eastAsia="Calibri" w:hAnsi="Arial" w:cs="Calibri"/>
          <w:bCs/>
          <w:kern w:val="0"/>
          <w:sz w:val="20"/>
          <w:szCs w:val="20"/>
          <w:lang w:val="en-US"/>
          <w14:ligatures w14:val="none"/>
        </w:rPr>
        <w:t xml:space="preserve">(2020) J Pharm </w:t>
      </w:r>
      <w:proofErr w:type="spellStart"/>
      <w:r w:rsidR="00E17549" w:rsidRPr="00E17549">
        <w:rPr>
          <w:rFonts w:ascii="Arial" w:eastAsia="Calibri" w:hAnsi="Arial" w:cs="Calibri"/>
          <w:bCs/>
          <w:kern w:val="0"/>
          <w:sz w:val="20"/>
          <w:szCs w:val="20"/>
          <w:lang w:val="en-US"/>
          <w14:ligatures w14:val="none"/>
        </w:rPr>
        <w:t>Pharmacol</w:t>
      </w:r>
      <w:proofErr w:type="spellEnd"/>
      <w:r w:rsidR="00E17549" w:rsidRPr="00E17549">
        <w:rPr>
          <w:rFonts w:ascii="Arial" w:eastAsia="Calibri" w:hAnsi="Arial" w:cs="Calibri"/>
          <w:bCs/>
          <w:kern w:val="0"/>
          <w:sz w:val="20"/>
          <w:szCs w:val="20"/>
          <w:lang w:val="en-US"/>
          <w14:ligatures w14:val="none"/>
        </w:rPr>
        <w:t xml:space="preserve"> 72:1341–1351.</w:t>
      </w:r>
    </w:p>
    <w:p w14:paraId="345A9FFF" w14:textId="77777777" w:rsidR="00177EE1" w:rsidRDefault="00C315D2" w:rsidP="00177EE1">
      <w:pPr>
        <w:spacing w:after="0"/>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(2) </w:t>
      </w:r>
      <w:r w:rsidR="00177EE1" w:rsidRPr="00177EE1">
        <w:rPr>
          <w:rFonts w:ascii="Arial" w:eastAsia="Calibri" w:hAnsi="Arial" w:cs="Calibri"/>
          <w:bCs/>
          <w:kern w:val="0"/>
          <w:sz w:val="20"/>
          <w:szCs w:val="20"/>
          <w:lang w:val="en-US"/>
          <w14:ligatures w14:val="none"/>
        </w:rPr>
        <w:t>Yang Y. et al (2022) Crystals 12:1080.</w:t>
      </w:r>
    </w:p>
    <w:p w14:paraId="51A2F71B" w14:textId="045E4DE6" w:rsidR="00E17549" w:rsidRDefault="00177EE1" w:rsidP="00C315D2">
      <w:pPr>
        <w:jc w:val="both"/>
        <w:rPr>
          <w:rFonts w:ascii="Arial" w:eastAsia="Calibri" w:hAnsi="Arial" w:cs="Calibri"/>
          <w:bCs/>
          <w:kern w:val="0"/>
          <w:sz w:val="20"/>
          <w:szCs w:val="20"/>
          <w:lang w:val="en-US"/>
          <w14:ligatures w14:val="none"/>
        </w:rPr>
      </w:pPr>
      <w:r w:rsidRPr="00177EE1">
        <w:rPr>
          <w:rFonts w:ascii="Arial" w:eastAsia="Calibri" w:hAnsi="Arial" w:cs="Calibri"/>
          <w:bCs/>
          <w:kern w:val="0"/>
          <w:sz w:val="20"/>
          <w:szCs w:val="20"/>
          <w:lang w:val="en-US"/>
          <w14:ligatures w14:val="none"/>
        </w:rPr>
        <w:t>(</w:t>
      </w:r>
      <w:r>
        <w:rPr>
          <w:rFonts w:ascii="Arial" w:eastAsia="Calibri" w:hAnsi="Arial" w:cs="Calibri"/>
          <w:bCs/>
          <w:kern w:val="0"/>
          <w:sz w:val="20"/>
          <w:szCs w:val="20"/>
          <w:lang w:val="en-US"/>
          <w14:ligatures w14:val="none"/>
        </w:rPr>
        <w:t>3</w:t>
      </w:r>
      <w:r w:rsidRPr="00177EE1">
        <w:rPr>
          <w:rFonts w:ascii="Arial" w:eastAsia="Calibri" w:hAnsi="Arial" w:cs="Calibri"/>
          <w:bCs/>
          <w:kern w:val="0"/>
          <w:sz w:val="20"/>
          <w:szCs w:val="20"/>
          <w:lang w:val="en-US"/>
          <w14:ligatures w14:val="none"/>
        </w:rPr>
        <w:t>) Li X. et al (2014) J Pharm Sci 103:2937–2949.</w:t>
      </w:r>
    </w:p>
    <w:sectPr w:rsidR="00E175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E93B" w14:textId="77777777" w:rsidR="005D245D" w:rsidRDefault="005D245D" w:rsidP="00840838">
      <w:pPr>
        <w:spacing w:after="0" w:line="240" w:lineRule="auto"/>
      </w:pPr>
      <w:r>
        <w:separator/>
      </w:r>
    </w:p>
  </w:endnote>
  <w:endnote w:type="continuationSeparator" w:id="0">
    <w:p w14:paraId="09632CA9" w14:textId="77777777" w:rsidR="005D245D" w:rsidRDefault="005D245D" w:rsidP="0084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B6DB" w14:textId="77777777" w:rsidR="005D245D" w:rsidRDefault="005D245D" w:rsidP="00840838">
      <w:pPr>
        <w:spacing w:after="0" w:line="240" w:lineRule="auto"/>
      </w:pPr>
      <w:r>
        <w:separator/>
      </w:r>
    </w:p>
  </w:footnote>
  <w:footnote w:type="continuationSeparator" w:id="0">
    <w:p w14:paraId="523C41FB" w14:textId="77777777" w:rsidR="005D245D" w:rsidRDefault="005D245D" w:rsidP="00840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36394"/>
    <w:rsid w:val="000D729D"/>
    <w:rsid w:val="00107368"/>
    <w:rsid w:val="00113BB7"/>
    <w:rsid w:val="001229E9"/>
    <w:rsid w:val="00177EE1"/>
    <w:rsid w:val="001F78DD"/>
    <w:rsid w:val="002017E6"/>
    <w:rsid w:val="00234EA4"/>
    <w:rsid w:val="00294059"/>
    <w:rsid w:val="003206E4"/>
    <w:rsid w:val="00352BC3"/>
    <w:rsid w:val="003A6D5C"/>
    <w:rsid w:val="004A51B6"/>
    <w:rsid w:val="00510CF8"/>
    <w:rsid w:val="00521F3B"/>
    <w:rsid w:val="00575A29"/>
    <w:rsid w:val="005D245D"/>
    <w:rsid w:val="00601754"/>
    <w:rsid w:val="006A34BE"/>
    <w:rsid w:val="006B3093"/>
    <w:rsid w:val="006F3F1C"/>
    <w:rsid w:val="007141F2"/>
    <w:rsid w:val="007561D8"/>
    <w:rsid w:val="00795378"/>
    <w:rsid w:val="00796206"/>
    <w:rsid w:val="007C367E"/>
    <w:rsid w:val="008071C5"/>
    <w:rsid w:val="008239FB"/>
    <w:rsid w:val="00840838"/>
    <w:rsid w:val="0085758B"/>
    <w:rsid w:val="008F3AA0"/>
    <w:rsid w:val="00906D34"/>
    <w:rsid w:val="00933DC9"/>
    <w:rsid w:val="00936D4C"/>
    <w:rsid w:val="009523F9"/>
    <w:rsid w:val="009650DF"/>
    <w:rsid w:val="009B1CBB"/>
    <w:rsid w:val="009E43BA"/>
    <w:rsid w:val="00A0516D"/>
    <w:rsid w:val="00A64781"/>
    <w:rsid w:val="00B4721D"/>
    <w:rsid w:val="00B54682"/>
    <w:rsid w:val="00B8473A"/>
    <w:rsid w:val="00BC24F8"/>
    <w:rsid w:val="00C21815"/>
    <w:rsid w:val="00C315D2"/>
    <w:rsid w:val="00C353D8"/>
    <w:rsid w:val="00C6358E"/>
    <w:rsid w:val="00C9266C"/>
    <w:rsid w:val="00CF5A91"/>
    <w:rsid w:val="00D02BB1"/>
    <w:rsid w:val="00D303C1"/>
    <w:rsid w:val="00D45A74"/>
    <w:rsid w:val="00D7428F"/>
    <w:rsid w:val="00DC65FB"/>
    <w:rsid w:val="00E17549"/>
    <w:rsid w:val="00E204E9"/>
    <w:rsid w:val="00E23CA3"/>
    <w:rsid w:val="00EC3746"/>
    <w:rsid w:val="00F539FB"/>
    <w:rsid w:val="00F85528"/>
    <w:rsid w:val="00FE11CA"/>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840838"/>
    <w:pPr>
      <w:tabs>
        <w:tab w:val="center" w:pos="4513"/>
        <w:tab w:val="right" w:pos="9026"/>
      </w:tabs>
      <w:snapToGrid w:val="0"/>
    </w:pPr>
  </w:style>
  <w:style w:type="character" w:customStyle="1" w:styleId="Char3">
    <w:name w:val="머리글 Char"/>
    <w:basedOn w:val="a0"/>
    <w:link w:val="aa"/>
    <w:uiPriority w:val="99"/>
    <w:rsid w:val="00840838"/>
  </w:style>
  <w:style w:type="paragraph" w:styleId="ab">
    <w:name w:val="footer"/>
    <w:basedOn w:val="a"/>
    <w:link w:val="Char4"/>
    <w:uiPriority w:val="99"/>
    <w:unhideWhenUsed/>
    <w:rsid w:val="00840838"/>
    <w:pPr>
      <w:tabs>
        <w:tab w:val="center" w:pos="4513"/>
        <w:tab w:val="right" w:pos="9026"/>
      </w:tabs>
      <w:snapToGrid w:val="0"/>
    </w:pPr>
  </w:style>
  <w:style w:type="character" w:customStyle="1" w:styleId="Char4">
    <w:name w:val="바닥글 Char"/>
    <w:basedOn w:val="a0"/>
    <w:link w:val="ab"/>
    <w:uiPriority w:val="99"/>
    <w:rsid w:val="0084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07384">
      <w:bodyDiv w:val="1"/>
      <w:marLeft w:val="0"/>
      <w:marRight w:val="0"/>
      <w:marTop w:val="0"/>
      <w:marBottom w:val="0"/>
      <w:divBdr>
        <w:top w:val="none" w:sz="0" w:space="0" w:color="auto"/>
        <w:left w:val="none" w:sz="0" w:space="0" w:color="auto"/>
        <w:bottom w:val="none" w:sz="0" w:space="0" w:color="auto"/>
        <w:right w:val="none" w:sz="0" w:space="0" w:color="auto"/>
      </w:divBdr>
    </w:div>
    <w:div w:id="820780330">
      <w:bodyDiv w:val="1"/>
      <w:marLeft w:val="0"/>
      <w:marRight w:val="0"/>
      <w:marTop w:val="0"/>
      <w:marBottom w:val="0"/>
      <w:divBdr>
        <w:top w:val="none" w:sz="0" w:space="0" w:color="auto"/>
        <w:left w:val="none" w:sz="0" w:space="0" w:color="auto"/>
        <w:bottom w:val="none" w:sz="0" w:space="0" w:color="auto"/>
        <w:right w:val="none" w:sz="0" w:space="0" w:color="auto"/>
      </w:divBdr>
    </w:div>
    <w:div w:id="860241668">
      <w:bodyDiv w:val="1"/>
      <w:marLeft w:val="0"/>
      <w:marRight w:val="0"/>
      <w:marTop w:val="0"/>
      <w:marBottom w:val="0"/>
      <w:divBdr>
        <w:top w:val="none" w:sz="0" w:space="0" w:color="auto"/>
        <w:left w:val="none" w:sz="0" w:space="0" w:color="auto"/>
        <w:bottom w:val="none" w:sz="0" w:space="0" w:color="auto"/>
        <w:right w:val="none" w:sz="0" w:space="0" w:color="auto"/>
      </w:divBdr>
    </w:div>
    <w:div w:id="15987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463</Words>
  <Characters>2642</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정지은</cp:lastModifiedBy>
  <cp:revision>9</cp:revision>
  <dcterms:created xsi:type="dcterms:W3CDTF">2025-07-23T01:32:00Z</dcterms:created>
  <dcterms:modified xsi:type="dcterms:W3CDTF">2025-07-30T04:15:00Z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