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0CCA93" w14:textId="3B5B55BB" w:rsidR="00711813" w:rsidRPr="00DF1C8E" w:rsidRDefault="001E7332" w:rsidP="009A4CFF">
      <w:pPr>
        <w:ind w:left="284" w:right="282"/>
        <w:jc w:val="center"/>
        <w:rPr>
          <w:rFonts w:ascii="Calibri" w:hAnsi="Calibri" w:cs="Calibri"/>
          <w:b/>
          <w:sz w:val="28"/>
          <w:szCs w:val="28"/>
          <w:lang w:val="en-AU"/>
        </w:rPr>
      </w:pPr>
      <w:r>
        <w:rPr>
          <w:rFonts w:ascii="Calibri" w:hAnsi="Calibri" w:cs="Calibri"/>
          <w:b/>
          <w:sz w:val="28"/>
          <w:szCs w:val="28"/>
          <w:lang w:val="en-AU"/>
        </w:rPr>
        <w:t>Development of Architectural Polymers for Biomedical Imaging and Therapy</w:t>
      </w:r>
    </w:p>
    <w:p w14:paraId="57C45AC5" w14:textId="77777777" w:rsidR="00DF1C8E" w:rsidRDefault="00DF1C8E" w:rsidP="009A4CFF">
      <w:pPr>
        <w:ind w:left="284" w:right="282"/>
        <w:jc w:val="both"/>
        <w:rPr>
          <w:rFonts w:ascii="Calibri" w:hAnsi="Calibri" w:cs="Calibri"/>
          <w:sz w:val="20"/>
          <w:szCs w:val="20"/>
          <w:lang w:val="en-AU"/>
        </w:rPr>
      </w:pPr>
    </w:p>
    <w:p w14:paraId="71165961" w14:textId="70644E9C" w:rsidR="00DF2B2D" w:rsidRPr="00DF2B2D" w:rsidRDefault="00DF2B2D" w:rsidP="00DF2B2D">
      <w:pPr>
        <w:spacing w:line="60" w:lineRule="atLeast"/>
        <w:jc w:val="center"/>
        <w:rPr>
          <w:rFonts w:eastAsia="Batang"/>
          <w:i/>
          <w:color w:val="181512"/>
          <w:lang w:eastAsia="ko-KR"/>
        </w:rPr>
      </w:pPr>
      <w:r w:rsidRPr="00DF2B2D">
        <w:rPr>
          <w:rFonts w:eastAsia="Batang"/>
          <w:i/>
          <w:color w:val="181512"/>
          <w:lang w:eastAsia="ko-KR"/>
        </w:rPr>
        <w:t xml:space="preserve">Nicholas </w:t>
      </w:r>
      <w:proofErr w:type="spellStart"/>
      <w:r w:rsidRPr="00DF2B2D">
        <w:rPr>
          <w:rFonts w:eastAsia="Batang"/>
          <w:i/>
          <w:color w:val="181512"/>
          <w:lang w:eastAsia="ko-KR"/>
        </w:rPr>
        <w:t>Fletcher</w:t>
      </w:r>
      <w:r w:rsidR="001E7332" w:rsidRPr="001E7332">
        <w:rPr>
          <w:rFonts w:eastAsia="Batang"/>
          <w:i/>
          <w:color w:val="181512"/>
          <w:vertAlign w:val="superscript"/>
          <w:lang w:eastAsia="ko-KR"/>
        </w:rPr>
        <w:t>A</w:t>
      </w:r>
      <w:proofErr w:type="spellEnd"/>
      <w:r w:rsidRPr="00DF2B2D">
        <w:rPr>
          <w:rFonts w:eastAsia="Batang"/>
          <w:i/>
          <w:color w:val="181512"/>
          <w:lang w:eastAsia="ko-KR"/>
        </w:rPr>
        <w:t xml:space="preserve">, Zachary </w:t>
      </w:r>
      <w:proofErr w:type="spellStart"/>
      <w:r w:rsidRPr="00DF2B2D">
        <w:rPr>
          <w:rFonts w:eastAsia="Batang"/>
          <w:i/>
          <w:color w:val="181512"/>
          <w:lang w:eastAsia="ko-KR"/>
        </w:rPr>
        <w:t>Houston</w:t>
      </w:r>
      <w:r w:rsidR="001E7332" w:rsidRPr="001E7332">
        <w:rPr>
          <w:rFonts w:eastAsia="Batang"/>
          <w:i/>
          <w:color w:val="181512"/>
          <w:vertAlign w:val="superscript"/>
          <w:lang w:eastAsia="ko-KR"/>
        </w:rPr>
        <w:t>A</w:t>
      </w:r>
      <w:proofErr w:type="spellEnd"/>
      <w:r w:rsidRPr="00DF2B2D">
        <w:rPr>
          <w:rFonts w:eastAsia="Batang"/>
          <w:i/>
          <w:color w:val="181512"/>
          <w:lang w:eastAsia="ko-KR"/>
        </w:rPr>
        <w:t xml:space="preserve">, Christopher </w:t>
      </w:r>
      <w:proofErr w:type="spellStart"/>
      <w:r w:rsidRPr="00DF2B2D">
        <w:rPr>
          <w:rFonts w:eastAsia="Batang"/>
          <w:i/>
          <w:color w:val="181512"/>
          <w:lang w:eastAsia="ko-KR"/>
        </w:rPr>
        <w:t>Howard</w:t>
      </w:r>
      <w:r w:rsidR="001E7332" w:rsidRPr="001E7332">
        <w:rPr>
          <w:rFonts w:eastAsia="Batang"/>
          <w:i/>
          <w:color w:val="181512"/>
          <w:vertAlign w:val="superscript"/>
          <w:lang w:eastAsia="ko-KR"/>
        </w:rPr>
        <w:t>A</w:t>
      </w:r>
      <w:proofErr w:type="spellEnd"/>
      <w:r w:rsidRPr="00DF2B2D">
        <w:rPr>
          <w:rFonts w:eastAsia="Batang"/>
          <w:i/>
          <w:color w:val="181512"/>
          <w:lang w:eastAsia="ko-KR"/>
        </w:rPr>
        <w:t xml:space="preserve">, Gayathri </w:t>
      </w:r>
      <w:proofErr w:type="spellStart"/>
      <w:r w:rsidRPr="00DF2B2D">
        <w:rPr>
          <w:rFonts w:eastAsia="Batang"/>
          <w:i/>
          <w:color w:val="181512"/>
          <w:lang w:eastAsia="ko-KR"/>
        </w:rPr>
        <w:t>Ediriweera</w:t>
      </w:r>
      <w:r w:rsidR="001E7332" w:rsidRPr="001E7332">
        <w:rPr>
          <w:rFonts w:eastAsia="Batang"/>
          <w:i/>
          <w:color w:val="181512"/>
          <w:vertAlign w:val="superscript"/>
          <w:lang w:eastAsia="ko-KR"/>
        </w:rPr>
        <w:t>A</w:t>
      </w:r>
      <w:proofErr w:type="spellEnd"/>
      <w:r w:rsidRPr="00DF2B2D">
        <w:rPr>
          <w:rFonts w:eastAsia="Batang"/>
          <w:i/>
          <w:color w:val="181512"/>
          <w:lang w:eastAsia="ko-KR"/>
        </w:rPr>
        <w:t xml:space="preserve">, Anna </w:t>
      </w:r>
      <w:proofErr w:type="spellStart"/>
      <w:r w:rsidRPr="00DF2B2D">
        <w:rPr>
          <w:rFonts w:eastAsia="Batang"/>
          <w:i/>
          <w:color w:val="181512"/>
          <w:lang w:eastAsia="ko-KR"/>
        </w:rPr>
        <w:t>Gemmell</w:t>
      </w:r>
      <w:r w:rsidR="001E7332" w:rsidRPr="001E7332">
        <w:rPr>
          <w:rFonts w:eastAsia="Batang"/>
          <w:i/>
          <w:color w:val="181512"/>
          <w:vertAlign w:val="superscript"/>
          <w:lang w:eastAsia="ko-KR"/>
        </w:rPr>
        <w:t>A</w:t>
      </w:r>
      <w:proofErr w:type="spellEnd"/>
      <w:r w:rsidRPr="00DF2B2D">
        <w:rPr>
          <w:rFonts w:eastAsia="Batang"/>
          <w:i/>
          <w:color w:val="181512"/>
          <w:lang w:eastAsia="ko-KR"/>
        </w:rPr>
        <w:t xml:space="preserve">, Craig </w:t>
      </w:r>
      <w:proofErr w:type="spellStart"/>
      <w:r w:rsidRPr="00DF2B2D">
        <w:rPr>
          <w:rFonts w:eastAsia="Batang"/>
          <w:i/>
          <w:color w:val="181512"/>
          <w:lang w:eastAsia="ko-KR"/>
        </w:rPr>
        <w:t>Bell</w:t>
      </w:r>
      <w:r w:rsidR="001E7332" w:rsidRPr="001E7332">
        <w:rPr>
          <w:rFonts w:eastAsia="Batang"/>
          <w:i/>
          <w:color w:val="181512"/>
          <w:vertAlign w:val="superscript"/>
          <w:lang w:eastAsia="ko-KR"/>
        </w:rPr>
        <w:t>A</w:t>
      </w:r>
      <w:proofErr w:type="spellEnd"/>
      <w:r w:rsidR="001E7332">
        <w:rPr>
          <w:rFonts w:eastAsia="Batang"/>
          <w:i/>
          <w:color w:val="181512"/>
          <w:lang w:eastAsia="ko-KR"/>
        </w:rPr>
        <w:t xml:space="preserve">, Cameron </w:t>
      </w:r>
      <w:proofErr w:type="spellStart"/>
      <w:r w:rsidR="001E7332">
        <w:rPr>
          <w:rFonts w:eastAsia="Batang"/>
          <w:i/>
          <w:color w:val="181512"/>
          <w:lang w:eastAsia="ko-KR"/>
        </w:rPr>
        <w:t>Alexander</w:t>
      </w:r>
      <w:r w:rsidR="001E7332">
        <w:rPr>
          <w:rFonts w:eastAsia="Batang"/>
          <w:b/>
          <w:i/>
          <w:color w:val="181512"/>
          <w:vertAlign w:val="superscript"/>
          <w:lang w:eastAsia="ko-KR"/>
        </w:rPr>
        <w:t>B</w:t>
      </w:r>
      <w:proofErr w:type="spellEnd"/>
      <w:r w:rsidRPr="00DF2B2D">
        <w:rPr>
          <w:rFonts w:eastAsia="Batang"/>
          <w:i/>
          <w:color w:val="181512"/>
          <w:lang w:eastAsia="ko-KR"/>
        </w:rPr>
        <w:t xml:space="preserve"> and Kristofer J </w:t>
      </w:r>
      <w:proofErr w:type="spellStart"/>
      <w:r w:rsidRPr="00DF2B2D">
        <w:rPr>
          <w:rFonts w:eastAsia="Batang"/>
          <w:i/>
          <w:color w:val="181512"/>
          <w:lang w:eastAsia="ko-KR"/>
        </w:rPr>
        <w:t>Thurecht</w:t>
      </w:r>
      <w:r w:rsidR="001E7332" w:rsidRPr="001E7332">
        <w:rPr>
          <w:rFonts w:eastAsia="Batang"/>
          <w:i/>
          <w:color w:val="181512"/>
          <w:vertAlign w:val="superscript"/>
          <w:lang w:eastAsia="ko-KR"/>
        </w:rPr>
        <w:t>A</w:t>
      </w:r>
      <w:proofErr w:type="spellEnd"/>
    </w:p>
    <w:p w14:paraId="22DB1634" w14:textId="2C23B653" w:rsidR="00DF1C8E" w:rsidRPr="005F19FF" w:rsidRDefault="00DF1C8E" w:rsidP="009A4CFF">
      <w:pPr>
        <w:ind w:left="284" w:right="282"/>
        <w:jc w:val="center"/>
        <w:rPr>
          <w:rFonts w:ascii="Calibri" w:hAnsi="Calibri" w:cs="Calibri"/>
          <w:i/>
          <w:lang w:val="en-AU"/>
        </w:rPr>
      </w:pPr>
    </w:p>
    <w:p w14:paraId="31479071" w14:textId="77777777" w:rsidR="00997C34" w:rsidRDefault="00997C34" w:rsidP="009A4CFF">
      <w:pPr>
        <w:ind w:left="284" w:right="282"/>
        <w:jc w:val="center"/>
        <w:rPr>
          <w:rFonts w:ascii="Calibri" w:hAnsi="Calibri" w:cs="Calibri"/>
          <w:sz w:val="22"/>
          <w:szCs w:val="22"/>
          <w:vertAlign w:val="superscript"/>
          <w:lang w:val="en-AU"/>
        </w:rPr>
      </w:pPr>
    </w:p>
    <w:p w14:paraId="49EF8C2D" w14:textId="0E358E15" w:rsidR="00711813" w:rsidRPr="006B3866" w:rsidRDefault="005F19FF" w:rsidP="009A4CFF">
      <w:pPr>
        <w:ind w:left="284" w:right="282"/>
        <w:jc w:val="center"/>
        <w:rPr>
          <w:rFonts w:ascii="Calibri" w:hAnsi="Calibri" w:cs="Calibri"/>
          <w:sz w:val="22"/>
          <w:szCs w:val="22"/>
          <w:lang w:val="en-AU"/>
        </w:rPr>
      </w:pP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A</w:t>
      </w:r>
      <w:r w:rsidR="001E7332">
        <w:rPr>
          <w:rFonts w:ascii="Calibri" w:hAnsi="Calibri" w:cs="Calibri"/>
          <w:sz w:val="22"/>
          <w:szCs w:val="22"/>
          <w:lang w:val="en-AU"/>
        </w:rPr>
        <w:t>Australian</w:t>
      </w:r>
      <w:proofErr w:type="spellEnd"/>
      <w:r w:rsidR="001E7332">
        <w:rPr>
          <w:rFonts w:ascii="Calibri" w:hAnsi="Calibri" w:cs="Calibri"/>
          <w:sz w:val="22"/>
          <w:szCs w:val="22"/>
          <w:lang w:val="en-AU"/>
        </w:rPr>
        <w:t xml:space="preserve"> Institute for Bioengineering and Nanotechnology, Centre for Advanced Imaging, ARC Centre of Excellence in Bio-Nano Science and Technology and ARC Training Centre in Biomedical Imaging Technology, The University of Queensland, Brisbane, QLD, Australia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 xml:space="preserve">; </w:t>
      </w:r>
      <w:proofErr w:type="spellStart"/>
      <w:r>
        <w:rPr>
          <w:rFonts w:ascii="Calibri" w:hAnsi="Calibri" w:cs="Calibri"/>
          <w:sz w:val="22"/>
          <w:szCs w:val="22"/>
          <w:vertAlign w:val="superscript"/>
          <w:lang w:val="en-AU"/>
        </w:rPr>
        <w:t>B</w:t>
      </w:r>
      <w:r w:rsidR="001E7332">
        <w:rPr>
          <w:rFonts w:ascii="Calibri" w:hAnsi="Calibri" w:cs="Calibri"/>
          <w:sz w:val="22"/>
          <w:szCs w:val="22"/>
          <w:lang w:val="en-AU"/>
        </w:rPr>
        <w:t>School</w:t>
      </w:r>
      <w:proofErr w:type="spellEnd"/>
      <w:r w:rsidR="001E7332">
        <w:rPr>
          <w:rFonts w:ascii="Calibri" w:hAnsi="Calibri" w:cs="Calibri"/>
          <w:sz w:val="22"/>
          <w:szCs w:val="22"/>
          <w:lang w:val="en-AU"/>
        </w:rPr>
        <w:t xml:space="preserve"> of Pharmacy, The University of Nottingham, Nottingham, United Kingdom</w:t>
      </w:r>
      <w:r w:rsidR="00711813" w:rsidRPr="006B3866">
        <w:rPr>
          <w:rFonts w:ascii="Calibri" w:hAnsi="Calibri" w:cs="Calibri"/>
          <w:sz w:val="22"/>
          <w:szCs w:val="22"/>
          <w:lang w:val="en-AU"/>
        </w:rPr>
        <w:t>.</w:t>
      </w:r>
    </w:p>
    <w:p w14:paraId="05E17889" w14:textId="38F08F16" w:rsidR="00711813" w:rsidRPr="006B3866" w:rsidRDefault="00711813" w:rsidP="009A4CFF">
      <w:pPr>
        <w:pStyle w:val="Default"/>
        <w:ind w:left="284" w:right="282"/>
        <w:jc w:val="both"/>
        <w:rPr>
          <w:color w:val="auto"/>
          <w:sz w:val="22"/>
          <w:szCs w:val="22"/>
          <w:lang w:val="en-AU"/>
        </w:rPr>
      </w:pPr>
      <w:r w:rsidRPr="006B3866">
        <w:rPr>
          <w:i/>
          <w:color w:val="auto"/>
          <w:sz w:val="22"/>
          <w:szCs w:val="22"/>
        </w:rPr>
        <w:t xml:space="preserve"> </w:t>
      </w:r>
    </w:p>
    <w:p w14:paraId="573E1EEC" w14:textId="5ADAF557" w:rsidR="00170E5A" w:rsidRDefault="00170E5A" w:rsidP="00170E5A">
      <w:pPr>
        <w:jc w:val="both"/>
      </w:pPr>
      <w:r w:rsidRPr="00170E5A">
        <w:rPr>
          <w:rFonts w:asciiTheme="minorHAnsi" w:hAnsiTheme="minorHAnsi" w:cstheme="minorHAnsi"/>
          <w:color w:val="333333"/>
          <w:sz w:val="22"/>
          <w:szCs w:val="22"/>
        </w:rPr>
        <w:t xml:space="preserve"> Polymer and nanoparticle-based devices have evolved </w:t>
      </w:r>
      <w:proofErr w:type="gramStart"/>
      <w:r w:rsidRPr="00170E5A">
        <w:rPr>
          <w:rFonts w:asciiTheme="minorHAnsi" w:hAnsiTheme="minorHAnsi" w:cstheme="minorHAnsi"/>
          <w:color w:val="333333"/>
          <w:sz w:val="22"/>
          <w:szCs w:val="22"/>
        </w:rPr>
        <w:t>to significantly enhance</w:t>
      </w:r>
      <w:proofErr w:type="gramEnd"/>
      <w:r w:rsidRPr="00170E5A">
        <w:rPr>
          <w:rFonts w:asciiTheme="minorHAnsi" w:hAnsiTheme="minorHAnsi" w:cstheme="minorHAnsi"/>
          <w:color w:val="333333"/>
          <w:sz w:val="22"/>
          <w:szCs w:val="22"/>
        </w:rPr>
        <w:t xml:space="preserve"> therapeutic efficacy. However, in order to be truly effective, these polymeric devices must maintain their physical and chemical integrity under physiological conditions – this </w:t>
      </w:r>
      <w:proofErr w:type="gramStart"/>
      <w:r w:rsidRPr="00170E5A">
        <w:rPr>
          <w:rFonts w:asciiTheme="minorHAnsi" w:hAnsiTheme="minorHAnsi" w:cstheme="minorHAnsi"/>
          <w:color w:val="333333"/>
          <w:sz w:val="22"/>
          <w:szCs w:val="22"/>
        </w:rPr>
        <w:t>can only be achieved</w:t>
      </w:r>
      <w:proofErr w:type="gramEnd"/>
      <w:r w:rsidRPr="00170E5A">
        <w:rPr>
          <w:rFonts w:asciiTheme="minorHAnsi" w:hAnsiTheme="minorHAnsi" w:cstheme="minorHAnsi"/>
          <w:color w:val="333333"/>
          <w:sz w:val="22"/>
          <w:szCs w:val="22"/>
        </w:rPr>
        <w:t xml:space="preserve"> by developing a strong understanding of the fundamental properties of the nanomaterial-delivery system, in addition to identifying and successfully </w:t>
      </w:r>
      <w:r w:rsidRPr="00170E5A">
        <w:rPr>
          <w:rFonts w:asciiTheme="minorHAnsi" w:hAnsiTheme="minorHAnsi" w:cstheme="minorHAnsi"/>
          <w:i/>
          <w:iCs/>
          <w:color w:val="333333"/>
          <w:sz w:val="22"/>
          <w:szCs w:val="22"/>
        </w:rPr>
        <w:t xml:space="preserve">delivering </w:t>
      </w:r>
      <w:r w:rsidRPr="00170E5A">
        <w:rPr>
          <w:rFonts w:asciiTheme="minorHAnsi" w:hAnsiTheme="minorHAnsi" w:cstheme="minorHAnsi"/>
          <w:color w:val="333333"/>
          <w:sz w:val="22"/>
          <w:szCs w:val="22"/>
        </w:rPr>
        <w:t xml:space="preserve">new therapies. Central to the development of these future therapeutic platforms, is the field of </w:t>
      </w:r>
      <w:proofErr w:type="spellStart"/>
      <w:r w:rsidRPr="00170E5A">
        <w:rPr>
          <w:rFonts w:asciiTheme="minorHAnsi" w:hAnsiTheme="minorHAnsi" w:cstheme="minorHAnsi"/>
          <w:color w:val="333333"/>
          <w:sz w:val="22"/>
          <w:szCs w:val="22"/>
        </w:rPr>
        <w:t>theranostics</w:t>
      </w:r>
      <w:proofErr w:type="spellEnd"/>
      <w:r w:rsidRPr="00170E5A">
        <w:rPr>
          <w:rFonts w:asciiTheme="minorHAnsi" w:hAnsiTheme="minorHAnsi" w:cstheme="minorHAnsi"/>
          <w:color w:val="333333"/>
          <w:sz w:val="22"/>
          <w:szCs w:val="22"/>
        </w:rPr>
        <w:t xml:space="preserve">. This is the premise that future medical devices need to be capable of delivering a therapeutic dose to the correct site within the body, but must also possess mechanisms for online diagnosis, monitoring of disease progression and </w:t>
      </w:r>
      <w:proofErr w:type="spellStart"/>
      <w:r w:rsidRPr="00170E5A">
        <w:rPr>
          <w:rFonts w:asciiTheme="minorHAnsi" w:hAnsiTheme="minorHAnsi" w:cstheme="minorHAnsi"/>
          <w:color w:val="333333"/>
          <w:sz w:val="22"/>
          <w:szCs w:val="22"/>
        </w:rPr>
        <w:t>visualisation</w:t>
      </w:r>
      <w:proofErr w:type="spellEnd"/>
      <w:r w:rsidRPr="00170E5A">
        <w:rPr>
          <w:rFonts w:asciiTheme="minorHAnsi" w:hAnsiTheme="minorHAnsi" w:cstheme="minorHAnsi"/>
          <w:color w:val="333333"/>
          <w:sz w:val="22"/>
          <w:szCs w:val="22"/>
        </w:rPr>
        <w:t xml:space="preserve"> of drug delivery, release and efficacy of treatment. Such materials require significant advancements in chemistry, materials science and engineering such that the </w:t>
      </w:r>
      <w:proofErr w:type="spellStart"/>
      <w:r w:rsidRPr="00170E5A">
        <w:rPr>
          <w:rFonts w:asciiTheme="minorHAnsi" w:hAnsiTheme="minorHAnsi" w:cstheme="minorHAnsi"/>
          <w:color w:val="333333"/>
          <w:sz w:val="22"/>
          <w:szCs w:val="22"/>
        </w:rPr>
        <w:t>nanomedicine</w:t>
      </w:r>
      <w:proofErr w:type="spellEnd"/>
      <w:r w:rsidRPr="00170E5A">
        <w:rPr>
          <w:rFonts w:asciiTheme="minorHAnsi" w:hAnsiTheme="minorHAnsi" w:cstheme="minorHAnsi"/>
          <w:color w:val="333333"/>
          <w:sz w:val="22"/>
          <w:szCs w:val="22"/>
        </w:rPr>
        <w:t xml:space="preserve"> is complementary with the biological milieu.</w:t>
      </w:r>
      <w:r w:rsidR="00B74723">
        <w:rPr>
          <w:rFonts w:asciiTheme="minorHAnsi" w:hAnsiTheme="minorHAnsi" w:cstheme="minorHAnsi"/>
          <w:color w:val="333333"/>
          <w:sz w:val="22"/>
          <w:szCs w:val="22"/>
        </w:rPr>
        <w:t xml:space="preserve"> These materials are often complex in nature, but </w:t>
      </w:r>
      <w:proofErr w:type="gramStart"/>
      <w:r w:rsidR="00B74723">
        <w:rPr>
          <w:rFonts w:asciiTheme="minorHAnsi" w:hAnsiTheme="minorHAnsi" w:cstheme="minorHAnsi"/>
          <w:color w:val="333333"/>
          <w:sz w:val="22"/>
          <w:szCs w:val="22"/>
        </w:rPr>
        <w:t>are designed</w:t>
      </w:r>
      <w:proofErr w:type="gramEnd"/>
      <w:r w:rsidR="00B74723">
        <w:rPr>
          <w:rFonts w:asciiTheme="minorHAnsi" w:hAnsiTheme="minorHAnsi" w:cstheme="minorHAnsi"/>
          <w:color w:val="333333"/>
          <w:sz w:val="22"/>
          <w:szCs w:val="22"/>
        </w:rPr>
        <w:t xml:space="preserve"> with the express intention of providing further insight into the complex mechanisms that dictate nanomaterial behavior in biological systems.</w:t>
      </w:r>
      <w:r w:rsidRPr="00170E5A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170E5A">
        <w:rPr>
          <w:rFonts w:asciiTheme="minorHAnsi" w:hAnsiTheme="minorHAnsi" w:cstheme="minorHAnsi"/>
          <w:color w:val="333333"/>
          <w:sz w:val="22"/>
          <w:szCs w:val="22"/>
        </w:rPr>
        <w:br/>
        <w:t> </w:t>
      </w:r>
      <w:r w:rsidRPr="00170E5A">
        <w:rPr>
          <w:rFonts w:asciiTheme="minorHAnsi" w:hAnsiTheme="minorHAnsi" w:cstheme="minorHAnsi"/>
          <w:color w:val="333333"/>
          <w:sz w:val="22"/>
          <w:szCs w:val="22"/>
        </w:rPr>
        <w:br/>
        <w:t xml:space="preserve">While there are countless examples of polymer or nanoparticle systems that show efficacy in animal models, the ability </w:t>
      </w:r>
      <w:proofErr w:type="gramStart"/>
      <w:r w:rsidRPr="00170E5A">
        <w:rPr>
          <w:rFonts w:asciiTheme="minorHAnsi" w:hAnsiTheme="minorHAnsi" w:cstheme="minorHAnsi"/>
          <w:color w:val="333333"/>
          <w:sz w:val="22"/>
          <w:szCs w:val="22"/>
        </w:rPr>
        <w:t>to rationally-</w:t>
      </w:r>
      <w:proofErr w:type="spellStart"/>
      <w:r w:rsidRPr="00170E5A">
        <w:rPr>
          <w:rFonts w:asciiTheme="minorHAnsi" w:hAnsiTheme="minorHAnsi" w:cstheme="minorHAnsi"/>
          <w:color w:val="333333"/>
          <w:sz w:val="22"/>
          <w:szCs w:val="22"/>
        </w:rPr>
        <w:t>optimise</w:t>
      </w:r>
      <w:proofErr w:type="spellEnd"/>
      <w:proofErr w:type="gramEnd"/>
      <w:r w:rsidRPr="00170E5A">
        <w:rPr>
          <w:rFonts w:asciiTheme="minorHAnsi" w:hAnsiTheme="minorHAnsi" w:cstheme="minorHAnsi"/>
          <w:color w:val="333333"/>
          <w:sz w:val="22"/>
          <w:szCs w:val="22"/>
        </w:rPr>
        <w:t xml:space="preserve"> the materials is hindered by the inability to directly assess the </w:t>
      </w:r>
      <w:proofErr w:type="spellStart"/>
      <w:r w:rsidRPr="00170E5A">
        <w:rPr>
          <w:rFonts w:asciiTheme="minorHAnsi" w:hAnsiTheme="minorHAnsi" w:cstheme="minorHAnsi"/>
          <w:color w:val="333333"/>
          <w:sz w:val="22"/>
          <w:szCs w:val="22"/>
        </w:rPr>
        <w:t>behaviour</w:t>
      </w:r>
      <w:proofErr w:type="spellEnd"/>
      <w:r w:rsidRPr="00170E5A">
        <w:rPr>
          <w:rFonts w:asciiTheme="minorHAnsi" w:hAnsiTheme="minorHAnsi" w:cstheme="minorHAnsi"/>
          <w:color w:val="333333"/>
          <w:sz w:val="22"/>
          <w:szCs w:val="22"/>
        </w:rPr>
        <w:t xml:space="preserve"> of the materials </w:t>
      </w:r>
      <w:r w:rsidRPr="00170E5A">
        <w:rPr>
          <w:rFonts w:asciiTheme="minorHAnsi" w:hAnsiTheme="minorHAnsi" w:cstheme="minorHAnsi"/>
          <w:i/>
          <w:iCs/>
          <w:color w:val="333333"/>
          <w:sz w:val="22"/>
          <w:szCs w:val="22"/>
        </w:rPr>
        <w:t>in vivo</w:t>
      </w:r>
      <w:r w:rsidRPr="00170E5A">
        <w:rPr>
          <w:rFonts w:asciiTheme="minorHAnsi" w:hAnsiTheme="minorHAnsi" w:cstheme="minorHAnsi"/>
          <w:color w:val="333333"/>
          <w:sz w:val="22"/>
          <w:szCs w:val="22"/>
        </w:rPr>
        <w:t xml:space="preserve">. For example, improvements in administration for most </w:t>
      </w:r>
      <w:proofErr w:type="gramStart"/>
      <w:r w:rsidRPr="00170E5A">
        <w:rPr>
          <w:rFonts w:asciiTheme="minorHAnsi" w:hAnsiTheme="minorHAnsi" w:cstheme="minorHAnsi"/>
          <w:color w:val="333333"/>
          <w:sz w:val="22"/>
          <w:szCs w:val="22"/>
        </w:rPr>
        <w:t>biologically-targeted</w:t>
      </w:r>
      <w:proofErr w:type="gramEnd"/>
      <w:r w:rsidRPr="00170E5A">
        <w:rPr>
          <w:rFonts w:asciiTheme="minorHAnsi" w:hAnsiTheme="minorHAnsi" w:cstheme="minorHAnsi"/>
          <w:color w:val="333333"/>
          <w:sz w:val="22"/>
          <w:szCs w:val="22"/>
        </w:rPr>
        <w:t xml:space="preserve"> polymeric nanomaterial systems are achieved by monitoring efficacy in animals rather than monitoring the fundamental </w:t>
      </w:r>
      <w:proofErr w:type="spellStart"/>
      <w:r w:rsidRPr="00170E5A">
        <w:rPr>
          <w:rFonts w:asciiTheme="minorHAnsi" w:hAnsiTheme="minorHAnsi" w:cstheme="minorHAnsi"/>
          <w:color w:val="333333"/>
          <w:sz w:val="22"/>
          <w:szCs w:val="22"/>
        </w:rPr>
        <w:t>behaviour</w:t>
      </w:r>
      <w:proofErr w:type="spellEnd"/>
      <w:r w:rsidRPr="00170E5A">
        <w:rPr>
          <w:rFonts w:asciiTheme="minorHAnsi" w:hAnsiTheme="minorHAnsi" w:cstheme="minorHAnsi"/>
          <w:color w:val="333333"/>
          <w:sz w:val="22"/>
          <w:szCs w:val="22"/>
        </w:rPr>
        <w:t xml:space="preserve"> of the nanomaterial itself (e.g. measuring efficacy, rather than quantifying how a change in material properties results in a biological response). In this presentation, we describe recent efforts to develop self-reporting </w:t>
      </w:r>
      <w:proofErr w:type="spellStart"/>
      <w:r w:rsidRPr="00170E5A">
        <w:rPr>
          <w:rFonts w:asciiTheme="minorHAnsi" w:hAnsiTheme="minorHAnsi" w:cstheme="minorHAnsi"/>
          <w:color w:val="333333"/>
          <w:sz w:val="22"/>
          <w:szCs w:val="22"/>
        </w:rPr>
        <w:t>nanomedicines</w:t>
      </w:r>
      <w:proofErr w:type="spellEnd"/>
      <w:r w:rsidRPr="00170E5A">
        <w:rPr>
          <w:rFonts w:asciiTheme="minorHAnsi" w:hAnsiTheme="minorHAnsi" w:cstheme="minorHAnsi"/>
          <w:color w:val="333333"/>
          <w:sz w:val="22"/>
          <w:szCs w:val="22"/>
        </w:rPr>
        <w:t xml:space="preserve"> for a truly closed-loop approach to medicine, where nanomaterial </w:t>
      </w:r>
      <w:proofErr w:type="spellStart"/>
      <w:r w:rsidRPr="00170E5A">
        <w:rPr>
          <w:rFonts w:asciiTheme="minorHAnsi" w:hAnsiTheme="minorHAnsi" w:cstheme="minorHAnsi"/>
          <w:color w:val="333333"/>
          <w:sz w:val="22"/>
          <w:szCs w:val="22"/>
        </w:rPr>
        <w:t>behaviour</w:t>
      </w:r>
      <w:proofErr w:type="spellEnd"/>
      <w:r w:rsidRPr="00170E5A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proofErr w:type="gramStart"/>
      <w:r w:rsidRPr="00170E5A">
        <w:rPr>
          <w:rFonts w:asciiTheme="minorHAnsi" w:hAnsiTheme="minorHAnsi" w:cstheme="minorHAnsi"/>
          <w:color w:val="333333"/>
          <w:sz w:val="22"/>
          <w:szCs w:val="22"/>
        </w:rPr>
        <w:t>is monitored</w:t>
      </w:r>
      <w:proofErr w:type="gramEnd"/>
      <w:r w:rsidRPr="00170E5A">
        <w:rPr>
          <w:rFonts w:asciiTheme="minorHAnsi" w:hAnsiTheme="minorHAnsi" w:cstheme="minorHAnsi"/>
          <w:color w:val="333333"/>
          <w:sz w:val="22"/>
          <w:szCs w:val="22"/>
        </w:rPr>
        <w:t xml:space="preserve"> in real-time using molecular imaging as a function of therapy. These materials </w:t>
      </w:r>
      <w:proofErr w:type="gramStart"/>
      <w:r w:rsidRPr="00170E5A">
        <w:rPr>
          <w:rFonts w:asciiTheme="minorHAnsi" w:hAnsiTheme="minorHAnsi" w:cstheme="minorHAnsi"/>
          <w:color w:val="333333"/>
          <w:sz w:val="22"/>
          <w:szCs w:val="22"/>
        </w:rPr>
        <w:t>are based</w:t>
      </w:r>
      <w:proofErr w:type="gramEnd"/>
      <w:r w:rsidRPr="00170E5A">
        <w:rPr>
          <w:rFonts w:asciiTheme="minorHAnsi" w:hAnsiTheme="minorHAnsi" w:cstheme="minorHAnsi"/>
          <w:color w:val="333333"/>
          <w:sz w:val="22"/>
          <w:szCs w:val="22"/>
        </w:rPr>
        <w:t xml:space="preserve"> on architectural polymers that form a scaffold allowing combination of imaging and therapeutic modalities. Molecular imaging provides a route to validate how structure and property affects function in</w:t>
      </w:r>
      <w:r>
        <w:rPr>
          <w:rFonts w:ascii="Arial" w:hAnsi="Arial" w:cs="Arial"/>
          <w:color w:val="333333"/>
          <w:sz w:val="20"/>
          <w:szCs w:val="20"/>
        </w:rPr>
        <w:t xml:space="preserve"> animals.</w:t>
      </w:r>
      <w:r w:rsidR="00B74723">
        <w:rPr>
          <w:rFonts w:ascii="Arial" w:hAnsi="Arial" w:cs="Arial"/>
          <w:color w:val="333333"/>
          <w:sz w:val="20"/>
          <w:szCs w:val="20"/>
        </w:rPr>
        <w:t xml:space="preserve"> We offer insight into how advanced imaging techniques, such as positron emission tomography (PET), </w:t>
      </w:r>
      <w:proofErr w:type="gramStart"/>
      <w:r w:rsidR="00B74723">
        <w:rPr>
          <w:rFonts w:ascii="Arial" w:hAnsi="Arial" w:cs="Arial"/>
          <w:color w:val="333333"/>
          <w:sz w:val="20"/>
          <w:szCs w:val="20"/>
        </w:rPr>
        <w:t>can be utilized</w:t>
      </w:r>
      <w:proofErr w:type="gramEnd"/>
      <w:r w:rsidR="00B74723">
        <w:rPr>
          <w:rFonts w:ascii="Arial" w:hAnsi="Arial" w:cs="Arial"/>
          <w:color w:val="333333"/>
          <w:sz w:val="20"/>
          <w:szCs w:val="20"/>
        </w:rPr>
        <w:t xml:space="preserve"> to directly assess concentration of free drug in a particular volume upon its release from a polymeric carrier. Furthermore, new strategies to monitor therapeutic efficacy, rather than delivery, upon administration of </w:t>
      </w:r>
      <w:proofErr w:type="spellStart"/>
      <w:r w:rsidR="00B74723">
        <w:rPr>
          <w:rFonts w:ascii="Arial" w:hAnsi="Arial" w:cs="Arial"/>
          <w:color w:val="333333"/>
          <w:sz w:val="20"/>
          <w:szCs w:val="20"/>
        </w:rPr>
        <w:t>nanotherapeutics</w:t>
      </w:r>
      <w:proofErr w:type="spellEnd"/>
      <w:r w:rsidR="00B74723">
        <w:rPr>
          <w:rFonts w:ascii="Arial" w:hAnsi="Arial" w:cs="Arial"/>
          <w:color w:val="333333"/>
          <w:sz w:val="20"/>
          <w:szCs w:val="20"/>
        </w:rPr>
        <w:t xml:space="preserve"> </w:t>
      </w:r>
      <w:proofErr w:type="gramStart"/>
      <w:r w:rsidR="00B74723">
        <w:rPr>
          <w:rFonts w:ascii="Arial" w:hAnsi="Arial" w:cs="Arial"/>
          <w:color w:val="333333"/>
          <w:sz w:val="20"/>
          <w:szCs w:val="20"/>
        </w:rPr>
        <w:t>will be discussed</w:t>
      </w:r>
      <w:proofErr w:type="gramEnd"/>
      <w:r w:rsidR="00B74723">
        <w:rPr>
          <w:rFonts w:ascii="Arial" w:hAnsi="Arial" w:cs="Arial"/>
          <w:color w:val="333333"/>
          <w:sz w:val="20"/>
          <w:szCs w:val="20"/>
        </w:rPr>
        <w:t>.</w:t>
      </w:r>
    </w:p>
    <w:p w14:paraId="766DA9A5" w14:textId="60863F4C" w:rsidR="004E5450" w:rsidRDefault="004E5450" w:rsidP="009A4CFF">
      <w:pPr>
        <w:ind w:left="284" w:right="282"/>
        <w:jc w:val="both"/>
        <w:rPr>
          <w:rFonts w:ascii="Calibri" w:hAnsi="Calibri" w:cs="Calibri"/>
          <w:sz w:val="22"/>
          <w:szCs w:val="22"/>
          <w:lang w:val="en-AU"/>
        </w:rPr>
      </w:pPr>
      <w:bookmarkStart w:id="0" w:name="_GoBack"/>
      <w:bookmarkEnd w:id="0"/>
    </w:p>
    <w:sectPr w:rsidR="004E5450" w:rsidSect="000A6D19">
      <w:pgSz w:w="11906" w:h="16838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925E4"/>
    <w:multiLevelType w:val="hybridMultilevel"/>
    <w:tmpl w:val="D514DEF8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5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BB"/>
    <w:rsid w:val="0004118E"/>
    <w:rsid w:val="00045573"/>
    <w:rsid w:val="000A6D19"/>
    <w:rsid w:val="00170E5A"/>
    <w:rsid w:val="001A21AD"/>
    <w:rsid w:val="001E7332"/>
    <w:rsid w:val="002078AD"/>
    <w:rsid w:val="002226BB"/>
    <w:rsid w:val="00225236"/>
    <w:rsid w:val="002272B0"/>
    <w:rsid w:val="00300B92"/>
    <w:rsid w:val="0030585E"/>
    <w:rsid w:val="00335022"/>
    <w:rsid w:val="00387491"/>
    <w:rsid w:val="00447188"/>
    <w:rsid w:val="00483B05"/>
    <w:rsid w:val="004E28B9"/>
    <w:rsid w:val="004E5450"/>
    <w:rsid w:val="005226A8"/>
    <w:rsid w:val="0055229D"/>
    <w:rsid w:val="00562D19"/>
    <w:rsid w:val="0059609A"/>
    <w:rsid w:val="00597659"/>
    <w:rsid w:val="005E48A2"/>
    <w:rsid w:val="005F19FF"/>
    <w:rsid w:val="00641190"/>
    <w:rsid w:val="006448F3"/>
    <w:rsid w:val="006B3866"/>
    <w:rsid w:val="00711813"/>
    <w:rsid w:val="00724E3C"/>
    <w:rsid w:val="00743C46"/>
    <w:rsid w:val="008909C9"/>
    <w:rsid w:val="00947B77"/>
    <w:rsid w:val="00997C34"/>
    <w:rsid w:val="009A4CFF"/>
    <w:rsid w:val="009B2641"/>
    <w:rsid w:val="009E2228"/>
    <w:rsid w:val="009F06D6"/>
    <w:rsid w:val="00A266B4"/>
    <w:rsid w:val="00B27263"/>
    <w:rsid w:val="00B74723"/>
    <w:rsid w:val="00BC5FCC"/>
    <w:rsid w:val="00C60A71"/>
    <w:rsid w:val="00CC165A"/>
    <w:rsid w:val="00D55F3B"/>
    <w:rsid w:val="00DA2731"/>
    <w:rsid w:val="00DB4497"/>
    <w:rsid w:val="00DC0ABB"/>
    <w:rsid w:val="00DF1C8E"/>
    <w:rsid w:val="00DF2B2D"/>
    <w:rsid w:val="00EF12F3"/>
    <w:rsid w:val="00F26BBE"/>
    <w:rsid w:val="00F9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89A172"/>
  <w15:chartTrackingRefBased/>
  <w15:docId w15:val="{D373E056-3419-B544-94B4-1F57AF4F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 w:after="60"/>
      <w:jc w:val="center"/>
      <w:outlineLvl w:val="2"/>
    </w:pPr>
    <w:rPr>
      <w:b/>
      <w:caps/>
      <w:szCs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420F72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semiHidden/>
    <w:pPr>
      <w:spacing w:before="120" w:after="120"/>
      <w:ind w:left="-90"/>
      <w:jc w:val="center"/>
    </w:pPr>
    <w:rPr>
      <w:rFonts w:ascii="Times" w:hAnsi="Times"/>
      <w:szCs w:val="20"/>
    </w:rPr>
  </w:style>
  <w:style w:type="character" w:customStyle="1" w:styleId="Heading5Char">
    <w:name w:val="Heading 5 Char"/>
    <w:link w:val="Heading5"/>
    <w:uiPriority w:val="9"/>
    <w:semiHidden/>
    <w:rsid w:val="00420F72"/>
    <w:rPr>
      <w:rFonts w:ascii="Calibri" w:eastAsia="PMingLiU" w:hAnsi="Calibri" w:cs="Times New Roman"/>
      <w:b/>
      <w:bCs/>
      <w:i/>
      <w:iCs/>
      <w:sz w:val="26"/>
      <w:szCs w:val="26"/>
      <w:lang w:eastAsia="en-US"/>
    </w:rPr>
  </w:style>
  <w:style w:type="paragraph" w:customStyle="1" w:styleId="Default">
    <w:name w:val="Default"/>
    <w:rsid w:val="00D44795"/>
    <w:pPr>
      <w:widowControl w:val="0"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6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6B31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743C46"/>
    <w:rPr>
      <w:b/>
      <w:bCs/>
    </w:rPr>
  </w:style>
  <w:style w:type="character" w:styleId="Hyperlink">
    <w:name w:val="Hyperlink"/>
    <w:uiPriority w:val="99"/>
    <w:unhideWhenUsed/>
    <w:rsid w:val="00DC0ABB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C0A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A2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1AD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1AD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Submission Format for ConnectED 2007</vt:lpstr>
    </vt:vector>
  </TitlesOfParts>
  <Company>clems</Company>
  <LinksUpToDate>false</LinksUpToDate>
  <CharactersWithSpaces>3227</CharactersWithSpaces>
  <SharedDoc>false</SharedDoc>
  <HLinks>
    <vt:vector size="6" baseType="variant">
      <vt:variant>
        <vt:i4>6619201</vt:i4>
      </vt:variant>
      <vt:variant>
        <vt:i4>0</vt:i4>
      </vt:variant>
      <vt:variant>
        <vt:i4>0</vt:i4>
      </vt:variant>
      <vt:variant>
        <vt:i4>5</vt:i4>
      </vt:variant>
      <vt:variant>
        <vt:lpwstr>mailto:iccp450@expertevents.com.au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Format for ConnectED 2007</dc:title>
  <dc:subject/>
  <dc:creator>gillard</dc:creator>
  <cp:keywords/>
  <cp:lastModifiedBy>Kristofer Thurecht</cp:lastModifiedBy>
  <cp:revision>2</cp:revision>
  <cp:lastPrinted>2013-06-13T05:15:00Z</cp:lastPrinted>
  <dcterms:created xsi:type="dcterms:W3CDTF">2019-11-07T22:25:00Z</dcterms:created>
  <dcterms:modified xsi:type="dcterms:W3CDTF">2019-11-07T22:25:00Z</dcterms:modified>
</cp:coreProperties>
</file>