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13B4369B" w:rsidR="00DF1C8E" w:rsidRDefault="00B919B2" w:rsidP="00B919B2">
      <w:pPr>
        <w:ind w:left="284" w:right="282"/>
        <w:jc w:val="center"/>
        <w:rPr>
          <w:rFonts w:ascii="Calibri" w:hAnsi="Calibri" w:cs="Calibri"/>
          <w:sz w:val="20"/>
          <w:szCs w:val="20"/>
          <w:lang w:val="en-AU"/>
        </w:rPr>
      </w:pPr>
      <w:r w:rsidRPr="00B919B2">
        <w:rPr>
          <w:rFonts w:ascii="Calibri" w:hAnsi="Calibri" w:cs="Calibri"/>
          <w:b/>
          <w:sz w:val="28"/>
          <w:szCs w:val="28"/>
          <w:lang w:val="en-AU"/>
        </w:rPr>
        <w:t xml:space="preserve">Specific and sensitive nanoparticle-based electrochemical detection </w:t>
      </w:r>
      <w:r w:rsidRPr="00B919B2">
        <w:rPr>
          <w:rFonts w:ascii="Calibri" w:hAnsi="Calibri" w:cs="Calibri"/>
          <w:b/>
          <w:i/>
          <w:sz w:val="28"/>
          <w:szCs w:val="28"/>
          <w:lang w:val="en-AU"/>
        </w:rPr>
        <w:t xml:space="preserve">of Botrytis </w:t>
      </w:r>
      <w:proofErr w:type="spellStart"/>
      <w:r w:rsidRPr="00B919B2">
        <w:rPr>
          <w:rFonts w:ascii="Calibri" w:hAnsi="Calibri" w:cs="Calibri"/>
          <w:b/>
          <w:i/>
          <w:sz w:val="28"/>
          <w:szCs w:val="28"/>
          <w:lang w:val="en-AU"/>
        </w:rPr>
        <w:t>cinerea</w:t>
      </w:r>
      <w:proofErr w:type="spellEnd"/>
      <w:r w:rsidRPr="00B919B2">
        <w:rPr>
          <w:rFonts w:ascii="Calibri" w:hAnsi="Calibri" w:cs="Calibri"/>
          <w:b/>
          <w:sz w:val="28"/>
          <w:szCs w:val="28"/>
          <w:lang w:val="en-AU"/>
        </w:rPr>
        <w:t>, a damaging fungal plant pathogen</w:t>
      </w:r>
    </w:p>
    <w:p w14:paraId="31479071" w14:textId="58D3F81C" w:rsidR="00997C34" w:rsidRDefault="00B919B2" w:rsidP="00B919B2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  <w:r w:rsidRPr="00B17165">
        <w:t>Reb</w:t>
      </w:r>
      <w:r>
        <w:t>e</w:t>
      </w:r>
      <w:r w:rsidRPr="00B17165">
        <w:t xml:space="preserve">cca </w:t>
      </w:r>
      <w:proofErr w:type="spellStart"/>
      <w:r w:rsidRPr="00B17165">
        <w:t>Ford</w:t>
      </w:r>
      <w:r>
        <w:rPr>
          <w:vertAlign w:val="superscript"/>
        </w:rPr>
        <w:t>A</w:t>
      </w:r>
      <w:proofErr w:type="spellEnd"/>
      <w:r w:rsidRPr="005A1972">
        <w:t xml:space="preserve">, </w:t>
      </w:r>
      <w:proofErr w:type="spellStart"/>
      <w:r w:rsidRPr="00B17165">
        <w:t>Marzia</w:t>
      </w:r>
      <w:proofErr w:type="spellEnd"/>
      <w:r w:rsidRPr="00B17165">
        <w:t xml:space="preserve"> </w:t>
      </w:r>
      <w:proofErr w:type="spellStart"/>
      <w:r w:rsidRPr="00B17165">
        <w:t>Bilkiss</w:t>
      </w:r>
      <w:r>
        <w:rPr>
          <w:vertAlign w:val="superscript"/>
        </w:rPr>
        <w:t>A</w:t>
      </w:r>
      <w:proofErr w:type="spellEnd"/>
      <w:r>
        <w:t xml:space="preserve">, Mostafa 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Masud</w:t>
      </w:r>
      <w:r>
        <w:rPr>
          <w:vertAlign w:val="superscript"/>
        </w:rPr>
        <w:t>C</w:t>
      </w:r>
      <w:proofErr w:type="spellEnd"/>
      <w:r>
        <w:t xml:space="preserve">, Prabhakaran </w:t>
      </w:r>
      <w:proofErr w:type="spellStart"/>
      <w:r>
        <w:t>Sambasivan</w:t>
      </w:r>
      <w:r>
        <w:rPr>
          <w:vertAlign w:val="superscript"/>
        </w:rPr>
        <w:t>A</w:t>
      </w:r>
      <w:proofErr w:type="spellEnd"/>
      <w:r>
        <w:t xml:space="preserve">, Ido </w:t>
      </w:r>
      <w:proofErr w:type="spellStart"/>
      <w:r>
        <w:t>bar</w:t>
      </w:r>
      <w:r>
        <w:rPr>
          <w:vertAlign w:val="superscript"/>
        </w:rPr>
        <w:t>A</w:t>
      </w:r>
      <w:proofErr w:type="spellEnd"/>
      <w:r>
        <w:t xml:space="preserve">, </w:t>
      </w:r>
      <w:r w:rsidRPr="00B17165">
        <w:t xml:space="preserve">Muhammad J.A. </w:t>
      </w:r>
      <w:proofErr w:type="spellStart"/>
      <w:r w:rsidRPr="00B17165">
        <w:t>Shiddiky</w:t>
      </w:r>
      <w:r>
        <w:rPr>
          <w:vertAlign w:val="superscript"/>
        </w:rPr>
        <w:t>B</w:t>
      </w:r>
      <w:proofErr w:type="spellEnd"/>
    </w:p>
    <w:p w14:paraId="0C065688" w14:textId="77777777" w:rsidR="00B919B2" w:rsidRDefault="00B919B2" w:rsidP="00B919B2">
      <w:proofErr w:type="spellStart"/>
      <w:r>
        <w:rPr>
          <w:vertAlign w:val="superscript"/>
        </w:rPr>
        <w:t>A</w:t>
      </w:r>
      <w:r>
        <w:t>Environmental</w:t>
      </w:r>
      <w:proofErr w:type="spellEnd"/>
      <w:r>
        <w:t xml:space="preserve"> Futures Research Institute, School of Environment and Science</w:t>
      </w:r>
      <w:r w:rsidRPr="004E2255">
        <w:t>, Griffith University, Nathan Campus, QLD 4111, Australia</w:t>
      </w:r>
      <w:r>
        <w:t>.</w:t>
      </w:r>
    </w:p>
    <w:p w14:paraId="6A3259C6" w14:textId="77777777" w:rsidR="00B919B2" w:rsidRDefault="00B919B2" w:rsidP="00B919B2">
      <w:proofErr w:type="spellStart"/>
      <w:r>
        <w:rPr>
          <w:vertAlign w:val="superscript"/>
        </w:rPr>
        <w:t>B</w:t>
      </w:r>
      <w:r w:rsidRPr="004E2255">
        <w:t>Queensland</w:t>
      </w:r>
      <w:proofErr w:type="spellEnd"/>
      <w:r w:rsidRPr="004E2255">
        <w:t xml:space="preserve"> Micro- and Nanotechnology Centre, Griffith University, Nathan Campus, QLD</w:t>
      </w:r>
      <w:r>
        <w:t xml:space="preserve"> </w:t>
      </w:r>
      <w:r w:rsidRPr="004E2255">
        <w:t>4111, Australia.</w:t>
      </w:r>
    </w:p>
    <w:p w14:paraId="28AAEDE1" w14:textId="77777777" w:rsidR="00B919B2" w:rsidRDefault="00B919B2" w:rsidP="00B919B2">
      <w:proofErr w:type="spellStart"/>
      <w:r>
        <w:rPr>
          <w:vertAlign w:val="superscript"/>
        </w:rPr>
        <w:t>C</w:t>
      </w:r>
      <w:r w:rsidRPr="008711D2">
        <w:t>Australian</w:t>
      </w:r>
      <w:proofErr w:type="spellEnd"/>
      <w:r w:rsidRPr="008711D2">
        <w:t xml:space="preserve"> In</w:t>
      </w:r>
      <w:r>
        <w:t>stitute for Bioengineering and N</w:t>
      </w:r>
      <w:r w:rsidRPr="008711D2">
        <w:t>anotechnology, University of Queensland, QLD 4072, Australia</w:t>
      </w:r>
      <w: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655964F7" w:rsidR="00711813" w:rsidRPr="002B348C" w:rsidRDefault="00711813" w:rsidP="002B348C">
      <w:pPr>
        <w:ind w:right="282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2B348C">
        <w:rPr>
          <w:rFonts w:asciiTheme="minorHAnsi" w:hAnsiTheme="minorHAnsi" w:cstheme="minorHAnsi"/>
          <w:b/>
          <w:bCs/>
          <w:sz w:val="22"/>
          <w:szCs w:val="22"/>
          <w:lang w:val="en-AU"/>
        </w:rPr>
        <w:t>Introduction</w:t>
      </w:r>
      <w:r w:rsidR="00447188" w:rsidRPr="002B348C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p w14:paraId="13DD5684" w14:textId="6C91B050" w:rsidR="00205EB2" w:rsidRPr="002B348C" w:rsidRDefault="00205EB2" w:rsidP="00205EB2">
      <w:pPr>
        <w:jc w:val="both"/>
        <w:rPr>
          <w:rFonts w:asciiTheme="minorHAnsi" w:hAnsiTheme="minorHAnsi" w:cstheme="minorHAnsi"/>
          <w:sz w:val="22"/>
          <w:szCs w:val="22"/>
        </w:rPr>
      </w:pPr>
      <w:r w:rsidRPr="002B348C">
        <w:rPr>
          <w:rFonts w:asciiTheme="minorHAnsi" w:hAnsiTheme="minorHAnsi" w:cstheme="minorHAnsi"/>
          <w:sz w:val="22"/>
          <w:szCs w:val="22"/>
        </w:rPr>
        <w:t xml:space="preserve">Botrytis grey </w:t>
      </w:r>
      <w:proofErr w:type="spellStart"/>
      <w:r w:rsidRPr="002B348C">
        <w:rPr>
          <w:rFonts w:asciiTheme="minorHAnsi" w:hAnsiTheme="minorHAnsi" w:cstheme="minorHAnsi"/>
          <w:sz w:val="22"/>
          <w:szCs w:val="22"/>
        </w:rPr>
        <w:t>mould</w:t>
      </w:r>
      <w:proofErr w:type="spellEnd"/>
      <w:r w:rsidRPr="002B348C">
        <w:rPr>
          <w:rFonts w:asciiTheme="minorHAnsi" w:hAnsiTheme="minorHAnsi" w:cstheme="minorHAnsi"/>
          <w:sz w:val="22"/>
          <w:szCs w:val="22"/>
        </w:rPr>
        <w:t xml:space="preserve">, caused by </w:t>
      </w:r>
      <w:r w:rsidRPr="002B348C">
        <w:rPr>
          <w:rFonts w:asciiTheme="minorHAnsi" w:hAnsiTheme="minorHAnsi" w:cstheme="minorHAnsi"/>
          <w:i/>
          <w:sz w:val="22"/>
          <w:szCs w:val="22"/>
        </w:rPr>
        <w:t xml:space="preserve">Botrytis </w:t>
      </w:r>
      <w:proofErr w:type="spellStart"/>
      <w:r w:rsidRPr="002B348C">
        <w:rPr>
          <w:rFonts w:asciiTheme="minorHAnsi" w:hAnsiTheme="minorHAnsi" w:cstheme="minorHAnsi"/>
          <w:i/>
          <w:sz w:val="22"/>
          <w:szCs w:val="22"/>
        </w:rPr>
        <w:t>cinerea</w:t>
      </w:r>
      <w:proofErr w:type="spellEnd"/>
      <w:r w:rsidRPr="002B348C">
        <w:rPr>
          <w:rFonts w:asciiTheme="minorHAnsi" w:hAnsiTheme="minorHAnsi" w:cstheme="minorHAnsi"/>
          <w:sz w:val="22"/>
          <w:szCs w:val="22"/>
        </w:rPr>
        <w:t>, substantially reduces crop yields during environmentally conducive seasons. Greater success in application of Integrated Disease Management approaches to reduce loss would result from fast, accurate and cost-effective diagnosis and quantification of the causal pathogen. The existing immunogenic and molecular probe-type diagnostic methods are based on whole genome sequencing, PCR amplification or antibodies, are time consuming and offer varying levels of specificity and/or sensitivity</w:t>
      </w:r>
      <w:r w:rsidR="00D458DF">
        <w:rPr>
          <w:rFonts w:asciiTheme="minorHAnsi" w:hAnsiTheme="minorHAnsi" w:cstheme="minorHAnsi"/>
          <w:sz w:val="22"/>
          <w:szCs w:val="22"/>
        </w:rPr>
        <w:t xml:space="preserve"> (1)</w:t>
      </w:r>
      <w:r w:rsidRPr="002B34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78425F" w14:textId="77777777" w:rsidR="00205EB2" w:rsidRPr="002B348C" w:rsidRDefault="00205EB2" w:rsidP="00205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D6B3B" w14:textId="1AACE8C3" w:rsidR="00205EB2" w:rsidRPr="002B348C" w:rsidRDefault="00205EB2" w:rsidP="00205EB2">
      <w:pPr>
        <w:jc w:val="both"/>
        <w:rPr>
          <w:rFonts w:asciiTheme="minorHAnsi" w:hAnsiTheme="minorHAnsi" w:cstheme="minorHAnsi"/>
          <w:sz w:val="22"/>
          <w:szCs w:val="22"/>
        </w:rPr>
      </w:pPr>
      <w:r w:rsidRPr="002B348C">
        <w:rPr>
          <w:rFonts w:ascii="Calibri" w:hAnsi="Calibri" w:cs="Calibri"/>
          <w:b/>
          <w:bCs/>
          <w:sz w:val="22"/>
          <w:szCs w:val="22"/>
          <w:lang w:val="en-AU"/>
        </w:rPr>
        <w:t>Aims</w:t>
      </w:r>
    </w:p>
    <w:p w14:paraId="6517E591" w14:textId="77777777" w:rsidR="00205EB2" w:rsidRPr="002B348C" w:rsidRDefault="00205EB2" w:rsidP="00205EB2">
      <w:pPr>
        <w:jc w:val="both"/>
        <w:rPr>
          <w:rFonts w:asciiTheme="minorHAnsi" w:hAnsiTheme="minorHAnsi" w:cstheme="minorHAnsi"/>
          <w:sz w:val="22"/>
          <w:szCs w:val="22"/>
        </w:rPr>
      </w:pPr>
      <w:r w:rsidRPr="002B348C">
        <w:rPr>
          <w:rFonts w:asciiTheme="minorHAnsi" w:hAnsiTheme="minorHAnsi" w:cstheme="minorHAnsi"/>
          <w:sz w:val="22"/>
          <w:szCs w:val="22"/>
        </w:rPr>
        <w:t>As an alternative</w:t>
      </w:r>
      <w:r w:rsidRPr="002B348C">
        <w:rPr>
          <w:rFonts w:asciiTheme="minorHAnsi" w:hAnsiTheme="minorHAnsi" w:cstheme="minorHAnsi"/>
          <w:sz w:val="22"/>
          <w:szCs w:val="22"/>
        </w:rPr>
        <w:t xml:space="preserve"> to current isothermal molecular diagnostic assays for </w:t>
      </w:r>
      <w:r w:rsidRPr="002B348C">
        <w:rPr>
          <w:rFonts w:asciiTheme="minorHAnsi" w:hAnsiTheme="minorHAnsi" w:cstheme="minorHAnsi"/>
          <w:i/>
          <w:sz w:val="22"/>
          <w:szCs w:val="22"/>
        </w:rPr>
        <w:t xml:space="preserve">B. </w:t>
      </w:r>
      <w:proofErr w:type="spellStart"/>
      <w:r w:rsidRPr="002B348C">
        <w:rPr>
          <w:rFonts w:asciiTheme="minorHAnsi" w:hAnsiTheme="minorHAnsi" w:cstheme="minorHAnsi"/>
          <w:i/>
          <w:sz w:val="22"/>
          <w:szCs w:val="22"/>
        </w:rPr>
        <w:t>cinerea</w:t>
      </w:r>
      <w:proofErr w:type="spellEnd"/>
      <w:r w:rsidRPr="002B348C">
        <w:rPr>
          <w:rFonts w:asciiTheme="minorHAnsi" w:hAnsiTheme="minorHAnsi" w:cstheme="minorHAnsi"/>
          <w:sz w:val="22"/>
          <w:szCs w:val="22"/>
        </w:rPr>
        <w:t xml:space="preserve">, we </w:t>
      </w:r>
      <w:r w:rsidRPr="002B348C">
        <w:rPr>
          <w:rFonts w:asciiTheme="minorHAnsi" w:hAnsiTheme="minorHAnsi" w:cstheme="minorHAnsi"/>
          <w:sz w:val="22"/>
          <w:szCs w:val="22"/>
        </w:rPr>
        <w:t>aim to develop</w:t>
      </w:r>
      <w:r w:rsidRPr="002B348C">
        <w:rPr>
          <w:rFonts w:asciiTheme="minorHAnsi" w:hAnsiTheme="minorHAnsi" w:cstheme="minorHAnsi"/>
          <w:sz w:val="22"/>
          <w:szCs w:val="22"/>
        </w:rPr>
        <w:t xml:space="preserve"> a portable diagnostic assay comprising species-specific molecular biosensors for detection and quantification of the mycelium and spore-derived nucleic acid of </w:t>
      </w:r>
      <w:r w:rsidRPr="002B348C">
        <w:rPr>
          <w:rFonts w:asciiTheme="minorHAnsi" w:hAnsiTheme="minorHAnsi" w:cstheme="minorHAnsi"/>
          <w:sz w:val="22"/>
          <w:szCs w:val="22"/>
        </w:rPr>
        <w:t>the</w:t>
      </w:r>
      <w:r w:rsidRPr="002B348C">
        <w:rPr>
          <w:rFonts w:asciiTheme="minorHAnsi" w:hAnsiTheme="minorHAnsi" w:cstheme="minorHAnsi"/>
          <w:sz w:val="22"/>
          <w:szCs w:val="22"/>
        </w:rPr>
        <w:t xml:space="preserve"> target pathogen</w:t>
      </w:r>
      <w:r w:rsidRPr="002B348C">
        <w:rPr>
          <w:rFonts w:asciiTheme="minorHAnsi" w:hAnsiTheme="minorHAnsi" w:cstheme="minorHAnsi"/>
          <w:sz w:val="22"/>
          <w:szCs w:val="22"/>
        </w:rPr>
        <w:t>.</w:t>
      </w:r>
      <w:r w:rsidRPr="002B34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8B7AB" w14:textId="77777777" w:rsidR="00205EB2" w:rsidRPr="002B348C" w:rsidRDefault="00205EB2" w:rsidP="00205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5A724" w14:textId="0C9B184F" w:rsidR="00205EB2" w:rsidRPr="002B348C" w:rsidRDefault="00205EB2" w:rsidP="002B348C">
      <w:pPr>
        <w:ind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2B348C">
        <w:rPr>
          <w:rFonts w:ascii="Calibri" w:hAnsi="Calibri" w:cs="Calibri"/>
          <w:b/>
          <w:bCs/>
          <w:sz w:val="22"/>
          <w:szCs w:val="22"/>
          <w:lang w:val="en-AU"/>
        </w:rPr>
        <w:t>Methods</w:t>
      </w:r>
    </w:p>
    <w:p w14:paraId="32F89548" w14:textId="27B3F5DB" w:rsidR="00205EB2" w:rsidRPr="002B348C" w:rsidRDefault="00205EB2" w:rsidP="00205EB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B348C">
        <w:rPr>
          <w:rFonts w:asciiTheme="minorHAnsi" w:hAnsiTheme="minorHAnsi" w:cstheme="minorHAnsi"/>
          <w:sz w:val="22"/>
          <w:szCs w:val="22"/>
        </w:rPr>
        <w:t xml:space="preserve">For this, sensitive and </w:t>
      </w:r>
      <w:r w:rsidRPr="002B348C">
        <w:rPr>
          <w:rFonts w:asciiTheme="minorHAnsi" w:hAnsiTheme="minorHAnsi" w:cstheme="minorHAnsi"/>
          <w:sz w:val="22"/>
          <w:szCs w:val="22"/>
        </w:rPr>
        <w:t>unique</w:t>
      </w:r>
      <w:r w:rsidRPr="002B348C">
        <w:rPr>
          <w:rFonts w:asciiTheme="minorHAnsi" w:hAnsiTheme="minorHAnsi" w:cstheme="minorHAnsi"/>
          <w:sz w:val="22"/>
          <w:szCs w:val="22"/>
        </w:rPr>
        <w:t xml:space="preserve"> </w:t>
      </w:r>
      <w:r w:rsidRPr="002B348C">
        <w:rPr>
          <w:rFonts w:asciiTheme="minorHAnsi" w:hAnsiTheme="minorHAnsi" w:cstheme="minorHAnsi"/>
          <w:i/>
          <w:sz w:val="22"/>
          <w:szCs w:val="22"/>
        </w:rPr>
        <w:t xml:space="preserve">Botrytis </w:t>
      </w:r>
      <w:proofErr w:type="spellStart"/>
      <w:r w:rsidRPr="002B348C">
        <w:rPr>
          <w:rFonts w:asciiTheme="minorHAnsi" w:hAnsiTheme="minorHAnsi" w:cstheme="minorHAnsi"/>
          <w:i/>
          <w:sz w:val="22"/>
          <w:szCs w:val="22"/>
        </w:rPr>
        <w:t>cinerea</w:t>
      </w:r>
      <w:proofErr w:type="spellEnd"/>
      <w:r w:rsidRPr="002B34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B348C">
        <w:rPr>
          <w:rFonts w:asciiTheme="minorHAnsi" w:hAnsiTheme="minorHAnsi" w:cstheme="minorHAnsi"/>
          <w:iCs/>
          <w:sz w:val="22"/>
          <w:szCs w:val="22"/>
        </w:rPr>
        <w:t>probes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were 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designed through multiple genome sequence alignment of isolates representing the Australian </w:t>
      </w:r>
      <w:r w:rsidRPr="002B348C">
        <w:rPr>
          <w:rFonts w:asciiTheme="minorHAnsi" w:hAnsiTheme="minorHAnsi" w:cstheme="minorHAnsi"/>
          <w:i/>
          <w:iCs/>
          <w:sz w:val="22"/>
          <w:szCs w:val="22"/>
        </w:rPr>
        <w:t xml:space="preserve">B. </w:t>
      </w:r>
      <w:proofErr w:type="spellStart"/>
      <w:r w:rsidRPr="002B348C">
        <w:rPr>
          <w:rFonts w:asciiTheme="minorHAnsi" w:hAnsiTheme="minorHAnsi" w:cstheme="minorHAnsi"/>
          <w:i/>
          <w:iCs/>
          <w:sz w:val="22"/>
          <w:szCs w:val="22"/>
        </w:rPr>
        <w:t>cinerea</w:t>
      </w:r>
      <w:proofErr w:type="spellEnd"/>
      <w:r w:rsidRPr="002B348C">
        <w:rPr>
          <w:rFonts w:asciiTheme="minorHAnsi" w:hAnsiTheme="minorHAnsi" w:cstheme="minorHAnsi"/>
          <w:iCs/>
          <w:sz w:val="22"/>
          <w:szCs w:val="22"/>
        </w:rPr>
        <w:t xml:space="preserve"> population on temperate legumes (chickpea and lentil)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 w:rsidRPr="002B348C">
        <w:rPr>
          <w:rFonts w:asciiTheme="minorHAnsi" w:hAnsiTheme="minorHAnsi" w:cstheme="minorHAnsi"/>
          <w:iCs/>
          <w:sz w:val="22"/>
          <w:szCs w:val="22"/>
        </w:rPr>
        <w:t>and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 also</w:t>
      </w:r>
      <w:proofErr w:type="gramEnd"/>
      <w:r w:rsidRPr="002B348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B348C">
        <w:rPr>
          <w:rFonts w:asciiTheme="minorHAnsi" w:hAnsiTheme="minorHAnsi" w:cstheme="minorHAnsi"/>
          <w:iCs/>
          <w:sz w:val="22"/>
          <w:szCs w:val="22"/>
        </w:rPr>
        <w:t>with alignment of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 NA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sequences </w:t>
      </w:r>
      <w:r w:rsidR="002B348C">
        <w:rPr>
          <w:rFonts w:asciiTheme="minorHAnsi" w:hAnsiTheme="minorHAnsi" w:cstheme="minorHAnsi"/>
          <w:iCs/>
          <w:sz w:val="22"/>
          <w:szCs w:val="22"/>
        </w:rPr>
        <w:t xml:space="preserve">from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within online 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databases.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These were initially 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validated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via traditional PCR 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in pure fungal and inoculated plant backgrounds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for </w:t>
      </w:r>
      <w:r w:rsidR="002B348C">
        <w:rPr>
          <w:rFonts w:asciiTheme="minorHAnsi" w:hAnsiTheme="minorHAnsi" w:cstheme="minorHAnsi"/>
          <w:iCs/>
          <w:sz w:val="22"/>
          <w:szCs w:val="22"/>
        </w:rPr>
        <w:t xml:space="preserve">testing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specificity and subsequently for sensitivity 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via quantitative PCR.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>Next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, electro-catalytic assays were developed using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>functionalized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 magnetic nanoparticles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 xml:space="preserve">. For this, a titration was established to determine the detection threshold with pure fungal DNA </w:t>
      </w:r>
      <w:r w:rsidR="002B348C">
        <w:rPr>
          <w:rFonts w:asciiTheme="minorHAnsi" w:hAnsiTheme="minorHAnsi" w:cstheme="minorHAnsi"/>
          <w:iCs/>
          <w:sz w:val="22"/>
          <w:szCs w:val="22"/>
        </w:rPr>
        <w:t xml:space="preserve">(Figure 1) </w:t>
      </w:r>
      <w:r w:rsidR="002B348C" w:rsidRPr="002B348C">
        <w:rPr>
          <w:rFonts w:asciiTheme="minorHAnsi" w:hAnsiTheme="minorHAnsi" w:cstheme="minorHAnsi"/>
          <w:iCs/>
          <w:sz w:val="22"/>
          <w:szCs w:val="22"/>
        </w:rPr>
        <w:t>and then the fungus was detected within plants previously inoculated with the fungus following a crude extraction process</w:t>
      </w:r>
      <w:r w:rsidR="002B348C">
        <w:rPr>
          <w:rFonts w:asciiTheme="minorHAnsi" w:hAnsiTheme="minorHAnsi" w:cstheme="minorHAnsi"/>
          <w:iCs/>
          <w:sz w:val="22"/>
          <w:szCs w:val="22"/>
        </w:rPr>
        <w:t xml:space="preserve"> (Figure 2)</w:t>
      </w:r>
      <w:r w:rsidRPr="002B348C">
        <w:rPr>
          <w:rFonts w:asciiTheme="minorHAnsi" w:hAnsiTheme="minorHAnsi" w:cstheme="minorHAnsi"/>
          <w:iCs/>
          <w:sz w:val="22"/>
          <w:szCs w:val="22"/>
        </w:rPr>
        <w:t>.</w:t>
      </w:r>
    </w:p>
    <w:p w14:paraId="0C836180" w14:textId="44735DF7" w:rsidR="00205EB2" w:rsidRPr="002B348C" w:rsidRDefault="00205EB2" w:rsidP="00205EB2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D3AC487" w14:textId="6E6DD095" w:rsidR="002B348C" w:rsidRPr="002B348C" w:rsidRDefault="002B348C" w:rsidP="002B348C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B348C">
        <w:rPr>
          <w:rFonts w:asciiTheme="minorHAnsi" w:hAnsiTheme="minorHAnsi" w:cstheme="minorHAnsi"/>
          <w:b/>
          <w:iCs/>
          <w:sz w:val="22"/>
          <w:szCs w:val="22"/>
        </w:rPr>
        <w:t>Results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and discussion</w:t>
      </w:r>
    </w:p>
    <w:p w14:paraId="02643439" w14:textId="4DBBD98F" w:rsidR="00045573" w:rsidRPr="002B348C" w:rsidRDefault="002B348C" w:rsidP="002B348C">
      <w:pPr>
        <w:jc w:val="both"/>
        <w:rPr>
          <w:rFonts w:asciiTheme="minorHAnsi" w:hAnsiTheme="minorHAnsi" w:cstheme="minorHAnsi"/>
          <w:sz w:val="22"/>
          <w:szCs w:val="22"/>
        </w:rPr>
      </w:pPr>
      <w:r w:rsidRPr="002B348C">
        <w:rPr>
          <w:rFonts w:asciiTheme="minorHAnsi" w:hAnsiTheme="minorHAnsi" w:cstheme="minorHAnsi"/>
          <w:iCs/>
          <w:sz w:val="22"/>
          <w:szCs w:val="22"/>
        </w:rPr>
        <w:t>Th</w:t>
      </w:r>
      <w:r>
        <w:rPr>
          <w:rFonts w:asciiTheme="minorHAnsi" w:hAnsiTheme="minorHAnsi" w:cstheme="minorHAnsi"/>
          <w:iCs/>
          <w:sz w:val="22"/>
          <w:szCs w:val="22"/>
        </w:rPr>
        <w:t>e nanoparticle-based biosensor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 was extremely sensitive, able to detect a single spore within a raw total plant nucleic acid extract background and within 30 minutes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at the </w:t>
      </w:r>
      <w:r w:rsidRPr="002B348C">
        <w:rPr>
          <w:rFonts w:asciiTheme="minorHAnsi" w:hAnsiTheme="minorHAnsi" w:cstheme="minorHAnsi"/>
          <w:i/>
          <w:iCs/>
          <w:sz w:val="22"/>
          <w:szCs w:val="22"/>
        </w:rPr>
        <w:t>in-field</w:t>
      </w:r>
      <w:r w:rsidRPr="002B348C">
        <w:rPr>
          <w:rFonts w:asciiTheme="minorHAnsi" w:hAnsiTheme="minorHAnsi" w:cstheme="minorHAnsi"/>
          <w:iCs/>
          <w:sz w:val="22"/>
          <w:szCs w:val="22"/>
        </w:rPr>
        <w:t xml:space="preserve"> site. Translation of this technology to the field will enable quantitative assessment of pathogen load for future real-time accurate decision support for informed disease management</w:t>
      </w:r>
    </w:p>
    <w:p w14:paraId="64BD8B67" w14:textId="05E7CD2F" w:rsidR="00641190" w:rsidRPr="00D7459A" w:rsidRDefault="00AC07E5" w:rsidP="00D7459A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05BB" wp14:editId="5BCFE97F">
                <wp:simplePos x="0" y="0"/>
                <wp:positionH relativeFrom="column">
                  <wp:posOffset>4394200</wp:posOffset>
                </wp:positionH>
                <wp:positionV relativeFrom="paragraph">
                  <wp:posOffset>4445</wp:posOffset>
                </wp:positionV>
                <wp:extent cx="679450" cy="2730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0D27F" w14:textId="15EC8424" w:rsidR="00AC07E5" w:rsidRPr="00AC07E5" w:rsidRDefault="00AC07E5" w:rsidP="00AC07E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C07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105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6pt;margin-top:.35pt;width:53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" fillcolor="window" stroked="f" strokeweight=".5pt">
                <v:textbox>
                  <w:txbxContent>
                    <w:p w14:paraId="0BA0D27F" w14:textId="15EC8424" w:rsidR="00AC07E5" w:rsidRPr="00AC07E5" w:rsidRDefault="00AC07E5" w:rsidP="00AC07E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C07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Figure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11BDD" wp14:editId="7318967A">
                <wp:simplePos x="0" y="0"/>
                <wp:positionH relativeFrom="column">
                  <wp:posOffset>1496060</wp:posOffset>
                </wp:positionH>
                <wp:positionV relativeFrom="paragraph">
                  <wp:posOffset>74295</wp:posOffset>
                </wp:positionV>
                <wp:extent cx="679450" cy="2730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D7A78" w14:textId="0F75662F" w:rsidR="00AC07E5" w:rsidRPr="00AC07E5" w:rsidRDefault="00AC07E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C07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1BDD" id="Text Box 3" o:spid="_x0000_s1027" type="#_x0000_t202" style="position:absolute;left:0;text-align:left;margin-left:117.8pt;margin-top:5.85pt;width:53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" fillcolor="white [3201]" stroked="f" strokeweight=".5pt">
                <v:textbox>
                  <w:txbxContent>
                    <w:p w14:paraId="271D7A78" w14:textId="0F75662F" w:rsidR="00AC07E5" w:rsidRPr="00AC07E5" w:rsidRDefault="00AC07E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C07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 w:rsidR="002B348C">
        <w:rPr>
          <w:rFonts w:ascii="Calibri" w:hAnsi="Calibri" w:cs="Calibri"/>
          <w:b/>
          <w:bCs/>
          <w:noProof/>
          <w:sz w:val="22"/>
          <w:szCs w:val="22"/>
          <w:lang w:val="en-AU"/>
        </w:rPr>
        <w:drawing>
          <wp:inline distT="0" distB="0" distL="0" distR="0" wp14:anchorId="29A4FC47" wp14:editId="2C59E68D">
            <wp:extent cx="3199157" cy="186436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46" cy="1876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48C">
        <w:rPr>
          <w:rFonts w:ascii="Calibri" w:hAnsi="Calibri" w:cs="Calibri"/>
          <w:b/>
          <w:bCs/>
          <w:noProof/>
          <w:sz w:val="22"/>
          <w:szCs w:val="22"/>
          <w:lang w:val="en-AU"/>
        </w:rPr>
        <w:drawing>
          <wp:inline distT="0" distB="0" distL="0" distR="0" wp14:anchorId="6A718C2F" wp14:editId="525E6869">
            <wp:extent cx="2468880" cy="172378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20" cy="174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0A76F" w14:textId="047CFA90" w:rsidR="00F97620" w:rsidRPr="00D7459A" w:rsidRDefault="00D7459A" w:rsidP="00D7459A">
      <w:pPr>
        <w:ind w:right="282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D7459A">
        <w:rPr>
          <w:rFonts w:asciiTheme="minorHAnsi" w:hAnsiTheme="minorHAnsi" w:cstheme="minorHAnsi"/>
          <w:sz w:val="22"/>
          <w:szCs w:val="22"/>
          <w:lang w:val="en-AU"/>
        </w:rPr>
        <w:t xml:space="preserve">1. </w:t>
      </w:r>
      <w:proofErr w:type="spellStart"/>
      <w:r w:rsidRPr="00D7459A">
        <w:rPr>
          <w:rFonts w:asciiTheme="minorHAnsi" w:hAnsiTheme="minorHAnsi" w:cstheme="minorHAnsi"/>
          <w:sz w:val="22"/>
          <w:szCs w:val="22"/>
        </w:rPr>
        <w:t>Bilkiss</w:t>
      </w:r>
      <w:proofErr w:type="spellEnd"/>
      <w:r w:rsidR="00C363CC">
        <w:rPr>
          <w:rFonts w:asciiTheme="minorHAnsi" w:hAnsiTheme="minorHAnsi" w:cstheme="minorHAnsi"/>
          <w:sz w:val="22"/>
          <w:szCs w:val="22"/>
        </w:rPr>
        <w:t>,</w:t>
      </w:r>
      <w:r w:rsidRPr="00D7459A">
        <w:rPr>
          <w:rFonts w:asciiTheme="minorHAnsi" w:hAnsiTheme="minorHAnsi" w:cstheme="minorHAnsi"/>
          <w:sz w:val="22"/>
          <w:szCs w:val="22"/>
        </w:rPr>
        <w:t xml:space="preserve"> M</w:t>
      </w:r>
      <w:r w:rsidR="00C363CC">
        <w:rPr>
          <w:rFonts w:asciiTheme="minorHAnsi" w:hAnsiTheme="minorHAnsi" w:cstheme="minorHAnsi"/>
          <w:sz w:val="22"/>
          <w:szCs w:val="22"/>
        </w:rPr>
        <w:t>.</w:t>
      </w:r>
      <w:r w:rsidRPr="00D7459A">
        <w:rPr>
          <w:rFonts w:asciiTheme="minorHAnsi" w:hAnsiTheme="minorHAnsi" w:cstheme="minorHAnsi"/>
          <w:sz w:val="22"/>
          <w:szCs w:val="22"/>
        </w:rPr>
        <w:t>, Muhammad</w:t>
      </w:r>
      <w:r w:rsidR="00C363CC">
        <w:rPr>
          <w:rFonts w:asciiTheme="minorHAnsi" w:hAnsiTheme="minorHAnsi" w:cstheme="minorHAnsi"/>
          <w:sz w:val="22"/>
          <w:szCs w:val="22"/>
        </w:rPr>
        <w:t>,</w:t>
      </w:r>
      <w:r w:rsidRPr="00D7459A">
        <w:rPr>
          <w:rFonts w:asciiTheme="minorHAnsi" w:hAnsiTheme="minorHAnsi" w:cstheme="minorHAnsi"/>
          <w:sz w:val="22"/>
          <w:szCs w:val="22"/>
        </w:rPr>
        <w:t xml:space="preserve"> S</w:t>
      </w:r>
      <w:r w:rsidR="00C363CC">
        <w:rPr>
          <w:rFonts w:asciiTheme="minorHAnsi" w:hAnsiTheme="minorHAnsi" w:cstheme="minorHAnsi"/>
          <w:sz w:val="22"/>
          <w:szCs w:val="22"/>
        </w:rPr>
        <w:t>.</w:t>
      </w:r>
      <w:r w:rsidRPr="00D7459A">
        <w:rPr>
          <w:rFonts w:asciiTheme="minorHAnsi" w:hAnsiTheme="minorHAnsi" w:cstheme="minorHAnsi"/>
          <w:sz w:val="22"/>
          <w:szCs w:val="22"/>
        </w:rPr>
        <w:t>J</w:t>
      </w:r>
      <w:r w:rsidR="00C363CC">
        <w:rPr>
          <w:rFonts w:asciiTheme="minorHAnsi" w:hAnsiTheme="minorHAnsi" w:cstheme="minorHAnsi"/>
          <w:sz w:val="22"/>
          <w:szCs w:val="22"/>
        </w:rPr>
        <w:t>.</w:t>
      </w:r>
      <w:r w:rsidRPr="00D7459A">
        <w:rPr>
          <w:rFonts w:asciiTheme="minorHAnsi" w:hAnsiTheme="minorHAnsi" w:cstheme="minorHAnsi"/>
          <w:sz w:val="22"/>
          <w:szCs w:val="22"/>
        </w:rPr>
        <w:t>A</w:t>
      </w:r>
      <w:r w:rsidR="00C363CC">
        <w:rPr>
          <w:rFonts w:asciiTheme="minorHAnsi" w:hAnsiTheme="minorHAnsi" w:cstheme="minorHAnsi"/>
          <w:sz w:val="22"/>
          <w:szCs w:val="22"/>
        </w:rPr>
        <w:t>. &amp;</w:t>
      </w:r>
      <w:r w:rsidRPr="00D7459A">
        <w:rPr>
          <w:rFonts w:asciiTheme="minorHAnsi" w:hAnsiTheme="minorHAnsi" w:cstheme="minorHAnsi"/>
          <w:sz w:val="22"/>
          <w:szCs w:val="22"/>
        </w:rPr>
        <w:t xml:space="preserve"> Ford</w:t>
      </w:r>
      <w:r w:rsidR="00C363CC">
        <w:rPr>
          <w:rFonts w:asciiTheme="minorHAnsi" w:hAnsiTheme="minorHAnsi" w:cstheme="minorHAnsi"/>
          <w:sz w:val="22"/>
          <w:szCs w:val="22"/>
        </w:rPr>
        <w:t>,</w:t>
      </w:r>
      <w:r w:rsidRPr="00D7459A">
        <w:rPr>
          <w:rFonts w:asciiTheme="minorHAnsi" w:hAnsiTheme="minorHAnsi" w:cstheme="minorHAnsi"/>
          <w:sz w:val="22"/>
          <w:szCs w:val="22"/>
        </w:rPr>
        <w:t xml:space="preserve"> R. (2019). The new age of informed BGM disease management for temperate grain legumes - biosensors for fast, accurate and sensitive Botrytis species diagnostics. Front</w:t>
      </w:r>
      <w:r w:rsidR="00C363CC">
        <w:rPr>
          <w:rFonts w:asciiTheme="minorHAnsi" w:hAnsiTheme="minorHAnsi" w:cstheme="minorHAnsi"/>
          <w:sz w:val="22"/>
          <w:szCs w:val="22"/>
        </w:rPr>
        <w:t>.</w:t>
      </w:r>
      <w:r w:rsidRPr="00D7459A">
        <w:rPr>
          <w:rFonts w:asciiTheme="minorHAnsi" w:hAnsiTheme="minorHAnsi" w:cstheme="minorHAnsi"/>
          <w:sz w:val="22"/>
          <w:szCs w:val="22"/>
        </w:rPr>
        <w:t xml:space="preserve"> Micro</w:t>
      </w:r>
      <w:r w:rsidR="00C363CC">
        <w:rPr>
          <w:rFonts w:asciiTheme="minorHAnsi" w:hAnsiTheme="minorHAnsi" w:cstheme="minorHAnsi"/>
          <w:sz w:val="22"/>
          <w:szCs w:val="22"/>
        </w:rPr>
        <w:t>.</w:t>
      </w:r>
      <w:r w:rsidRPr="00D7459A">
        <w:rPr>
          <w:rFonts w:asciiTheme="minorHAnsi" w:hAnsiTheme="minorHAnsi" w:cstheme="minorHAnsi"/>
          <w:sz w:val="22"/>
          <w:szCs w:val="22"/>
        </w:rPr>
        <w:t xml:space="preserve"> 10, 1889</w:t>
      </w:r>
      <w:r w:rsidR="00C363CC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sectPr w:rsidR="00F97620" w:rsidRPr="00D7459A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A21AD"/>
    <w:rsid w:val="00205EB2"/>
    <w:rsid w:val="002078AD"/>
    <w:rsid w:val="002226BB"/>
    <w:rsid w:val="00225236"/>
    <w:rsid w:val="002272B0"/>
    <w:rsid w:val="002B348C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8946EC"/>
    <w:rsid w:val="00947B77"/>
    <w:rsid w:val="00997C34"/>
    <w:rsid w:val="009A4CFF"/>
    <w:rsid w:val="009B2641"/>
    <w:rsid w:val="009E2228"/>
    <w:rsid w:val="009F06D6"/>
    <w:rsid w:val="00A266B4"/>
    <w:rsid w:val="00AC07E5"/>
    <w:rsid w:val="00B919B2"/>
    <w:rsid w:val="00BC5FCC"/>
    <w:rsid w:val="00C363CC"/>
    <w:rsid w:val="00C60A71"/>
    <w:rsid w:val="00CC165A"/>
    <w:rsid w:val="00D458DF"/>
    <w:rsid w:val="00D55F3B"/>
    <w:rsid w:val="00D7459A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7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2853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Rebecca Ford</cp:lastModifiedBy>
  <cp:revision>4</cp:revision>
  <cp:lastPrinted>2013-06-13T05:15:00Z</cp:lastPrinted>
  <dcterms:created xsi:type="dcterms:W3CDTF">2019-11-25T06:26:00Z</dcterms:created>
  <dcterms:modified xsi:type="dcterms:W3CDTF">2019-11-25T06:47:00Z</dcterms:modified>
</cp:coreProperties>
</file>