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14B2C9D" w:rsidR="00711813" w:rsidRPr="00DF1C8E" w:rsidRDefault="00065A1E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Mg based n</w:t>
      </w:r>
      <w:r w:rsidR="003D64C6">
        <w:rPr>
          <w:rFonts w:ascii="Calibri" w:hAnsi="Calibri" w:cs="Calibri"/>
          <w:b/>
          <w:sz w:val="28"/>
          <w:szCs w:val="28"/>
          <w:lang w:val="en-AU"/>
        </w:rPr>
        <w:t>anotechnologies to control clay swelling in coal seam gas wells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48925FF1" w:rsidR="00DF1C8E" w:rsidRPr="005F19FF" w:rsidRDefault="00F67C81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3D64C6">
        <w:rPr>
          <w:rFonts w:ascii="Calibri" w:hAnsi="Calibri" w:cs="Calibri"/>
          <w:i/>
          <w:lang w:val="en-GB"/>
        </w:rPr>
        <w:t>Archana Patel</w:t>
      </w:r>
      <w:r>
        <w:rPr>
          <w:rFonts w:ascii="Calibri" w:hAnsi="Calibri" w:cs="Calibri"/>
          <w:i/>
          <w:vertAlign w:val="superscript"/>
        </w:rPr>
        <w:t>A</w:t>
      </w:r>
      <w:r w:rsidRPr="003D64C6">
        <w:rPr>
          <w:rFonts w:ascii="Calibri" w:hAnsi="Calibri" w:cs="Calibri"/>
          <w:i/>
        </w:rPr>
        <w:t>,</w:t>
      </w:r>
      <w:r w:rsidR="003D64C6" w:rsidRPr="003D64C6">
        <w:rPr>
          <w:rFonts w:ascii="Calibri" w:hAnsi="Calibri" w:cs="Calibri" w:hint="eastAsia"/>
          <w:i/>
        </w:rPr>
        <w:t xml:space="preserve"> </w:t>
      </w:r>
      <w:r w:rsidR="003D64C6" w:rsidRPr="003D64C6">
        <w:rPr>
          <w:rFonts w:ascii="Calibri" w:hAnsi="Calibri" w:cs="Calibri"/>
          <w:i/>
          <w:lang w:val="en-GB"/>
        </w:rPr>
        <w:t>Lei Ge</w:t>
      </w:r>
      <w:r w:rsidR="003D64C6">
        <w:rPr>
          <w:rFonts w:ascii="Calibri" w:hAnsi="Calibri" w:cs="Calibri"/>
          <w:i/>
          <w:vertAlign w:val="superscript"/>
        </w:rPr>
        <w:t>A</w:t>
      </w:r>
      <w:r w:rsidR="003D64C6" w:rsidRPr="003D64C6">
        <w:rPr>
          <w:rFonts w:ascii="Calibri" w:hAnsi="Calibri" w:cs="Calibri"/>
          <w:i/>
          <w:vertAlign w:val="superscript"/>
        </w:rPr>
        <w:t>,</w:t>
      </w:r>
      <w:r w:rsidR="003D64C6">
        <w:rPr>
          <w:rFonts w:ascii="Calibri" w:hAnsi="Calibri" w:cs="Calibri"/>
          <w:i/>
          <w:vertAlign w:val="superscript"/>
        </w:rPr>
        <w:t>B</w:t>
      </w:r>
      <w:r w:rsidR="003D64C6" w:rsidRPr="003D64C6">
        <w:rPr>
          <w:rFonts w:ascii="Calibri" w:hAnsi="Calibri" w:cs="Calibri"/>
          <w:i/>
          <w:lang w:val="en-GB"/>
        </w:rPr>
        <w:t>, Brian Towler</w:t>
      </w:r>
      <w:r w:rsidR="003D64C6">
        <w:rPr>
          <w:rFonts w:ascii="Calibri" w:hAnsi="Calibri" w:cs="Calibri"/>
          <w:i/>
          <w:vertAlign w:val="superscript"/>
        </w:rPr>
        <w:t>A</w:t>
      </w:r>
      <w:r w:rsidR="003D64C6" w:rsidRPr="003D64C6">
        <w:rPr>
          <w:rFonts w:ascii="Calibri" w:hAnsi="Calibri" w:cs="Calibri"/>
          <w:i/>
          <w:lang w:val="en-GB"/>
        </w:rPr>
        <w:t>, Victor Rudolph</w:t>
      </w:r>
      <w:r w:rsidR="003D64C6">
        <w:rPr>
          <w:rFonts w:ascii="Calibri" w:hAnsi="Calibri" w:cs="Calibri" w:hint="eastAsia"/>
          <w:i/>
          <w:vertAlign w:val="superscript"/>
        </w:rPr>
        <w:t>A</w:t>
      </w:r>
      <w:r w:rsidRPr="003D64C6">
        <w:rPr>
          <w:rFonts w:ascii="Calibri" w:hAnsi="Calibri" w:cs="Calibri"/>
          <w:i/>
        </w:rPr>
        <w:t>,</w:t>
      </w:r>
      <w:r w:rsidRPr="00F67C81">
        <w:rPr>
          <w:rFonts w:ascii="Calibri" w:hAnsi="Calibri" w:cs="Calibri"/>
          <w:i/>
          <w:lang w:val="en-GB"/>
        </w:rPr>
        <w:t xml:space="preserve"> </w:t>
      </w:r>
      <w:r w:rsidRPr="003D64C6">
        <w:rPr>
          <w:rFonts w:ascii="Calibri" w:hAnsi="Calibri" w:cs="Calibri"/>
          <w:i/>
          <w:lang w:val="en-GB"/>
        </w:rPr>
        <w:t>Thomas E. Rufford</w:t>
      </w:r>
      <w:r w:rsidRPr="003D64C6">
        <w:rPr>
          <w:rFonts w:ascii="Calibri" w:hAnsi="Calibri" w:cs="Calibri"/>
          <w:i/>
          <w:vertAlign w:val="superscript"/>
        </w:rPr>
        <w:t xml:space="preserve"> </w:t>
      </w:r>
      <w:r>
        <w:rPr>
          <w:rFonts w:ascii="Calibri" w:hAnsi="Calibri" w:cs="Calibri"/>
          <w:i/>
          <w:vertAlign w:val="superscript"/>
        </w:rPr>
        <w:t>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3717AA6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3D64C6">
        <w:rPr>
          <w:rFonts w:ascii="Calibri" w:hAnsi="Calibri" w:cs="Calibri"/>
          <w:sz w:val="22"/>
          <w:szCs w:val="22"/>
          <w:lang w:val="en-AU"/>
        </w:rPr>
        <w:t>School of Chemical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4C6">
        <w:rPr>
          <w:rFonts w:ascii="Calibri" w:hAnsi="Calibri" w:cs="Calibri"/>
          <w:sz w:val="22"/>
          <w:szCs w:val="22"/>
          <w:lang w:val="en-AU"/>
        </w:rPr>
        <w:t>The University of Queensland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4C6">
        <w:rPr>
          <w:rFonts w:ascii="Calibri" w:hAnsi="Calibri" w:cs="Calibri"/>
          <w:sz w:val="22"/>
          <w:szCs w:val="22"/>
          <w:lang w:val="en-AU"/>
        </w:rPr>
        <w:t>St Lucia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4C6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3D64C6">
        <w:rPr>
          <w:rFonts w:ascii="Calibri" w:hAnsi="Calibri" w:cs="Calibri"/>
          <w:sz w:val="22"/>
          <w:szCs w:val="22"/>
          <w:lang w:val="en-AU"/>
        </w:rPr>
        <w:t>Centre for Future Materials,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D64C6">
        <w:rPr>
          <w:rFonts w:ascii="Calibri" w:hAnsi="Calibri" w:cs="Calibri"/>
          <w:sz w:val="22"/>
          <w:szCs w:val="22"/>
          <w:lang w:val="en-AU"/>
        </w:rPr>
        <w:t>University of Southern Queensland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4C6">
        <w:rPr>
          <w:rFonts w:ascii="Calibri" w:hAnsi="Calibri" w:cs="Calibri"/>
          <w:sz w:val="22"/>
          <w:szCs w:val="22"/>
          <w:lang w:val="en-AU"/>
        </w:rPr>
        <w:t>Springfield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64C6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1DBBD1EA" w14:textId="77777777" w:rsidR="00525052" w:rsidRDefault="0071181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2643439" w14:textId="400F2748" w:rsidR="00045573" w:rsidRPr="003D64C6" w:rsidRDefault="003D64C6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Coal seam gas </w:t>
      </w:r>
      <w:r w:rsidR="00525052">
        <w:rPr>
          <w:rFonts w:ascii="Calibri" w:hAnsi="Calibri" w:cs="Calibri"/>
          <w:sz w:val="22"/>
          <w:szCs w:val="22"/>
          <w:lang w:val="en-AU"/>
        </w:rPr>
        <w:t>(CSG) wells</w:t>
      </w:r>
      <w:r>
        <w:rPr>
          <w:rFonts w:ascii="Calibri" w:hAnsi="Calibri" w:cs="Calibri"/>
          <w:sz w:val="22"/>
          <w:szCs w:val="22"/>
          <w:lang w:val="en-AU"/>
        </w:rPr>
        <w:t xml:space="preserve"> in the Surat Basin </w:t>
      </w:r>
      <w:r w:rsidR="00525052">
        <w:rPr>
          <w:rFonts w:ascii="Calibri" w:hAnsi="Calibri" w:cs="Calibri"/>
          <w:sz w:val="22"/>
          <w:szCs w:val="22"/>
          <w:lang w:val="en-AU"/>
        </w:rPr>
        <w:t>are typically open-hole completions across multiple thin coal seams interlaye</w:t>
      </w:r>
      <w:r w:rsidR="00516131">
        <w:rPr>
          <w:rFonts w:ascii="Calibri" w:hAnsi="Calibri" w:cs="Calibri"/>
          <w:sz w:val="22"/>
          <w:szCs w:val="22"/>
          <w:lang w:val="en-AU"/>
        </w:rPr>
        <w:t>re</w:t>
      </w:r>
      <w:r w:rsidR="00525052">
        <w:rPr>
          <w:rFonts w:ascii="Calibri" w:hAnsi="Calibri" w:cs="Calibri"/>
          <w:sz w:val="22"/>
          <w:szCs w:val="22"/>
          <w:lang w:val="en-AU"/>
        </w:rPr>
        <w:t>d with mud</w:t>
      </w:r>
      <w:r w:rsidR="00FD5F16">
        <w:rPr>
          <w:rFonts w:ascii="Calibri" w:hAnsi="Calibri" w:cs="Calibri"/>
          <w:sz w:val="22"/>
          <w:szCs w:val="22"/>
          <w:lang w:val="en-AU"/>
        </w:rPr>
        <w:t>stones</w:t>
      </w:r>
      <w:r w:rsidR="00525052">
        <w:rPr>
          <w:rFonts w:ascii="Calibri" w:hAnsi="Calibri" w:cs="Calibri"/>
          <w:sz w:val="22"/>
          <w:szCs w:val="22"/>
          <w:lang w:val="en-AU"/>
        </w:rPr>
        <w:t xml:space="preserve"> that are rich in smectite clays</w:t>
      </w:r>
      <w:r w:rsidR="006240DF">
        <w:rPr>
          <w:rFonts w:ascii="Calibri" w:hAnsi="Calibri" w:cs="Calibri"/>
          <w:sz w:val="22"/>
          <w:szCs w:val="22"/>
          <w:lang w:val="en-AU"/>
        </w:rPr>
        <w:t xml:space="preserve"> (Towler et al. 2016)</w:t>
      </w:r>
      <w:r w:rsidR="00525052">
        <w:rPr>
          <w:rFonts w:ascii="Calibri" w:hAnsi="Calibri" w:cs="Calibri"/>
          <w:sz w:val="22"/>
          <w:szCs w:val="22"/>
          <w:lang w:val="en-AU"/>
        </w:rPr>
        <w:t xml:space="preserve">. The swelling of smectite clays on contact with drilling fluids and water produced from coal seams leads to </w:t>
      </w:r>
      <w:r w:rsidR="006240DF">
        <w:rPr>
          <w:rFonts w:ascii="Calibri" w:hAnsi="Calibri" w:cs="Calibri"/>
          <w:sz w:val="22"/>
          <w:szCs w:val="22"/>
          <w:lang w:val="en-AU"/>
        </w:rPr>
        <w:t xml:space="preserve">rock </w:t>
      </w:r>
      <w:r w:rsidR="00525052">
        <w:rPr>
          <w:rFonts w:ascii="Calibri" w:hAnsi="Calibri" w:cs="Calibri"/>
          <w:sz w:val="22"/>
          <w:szCs w:val="22"/>
          <w:lang w:val="en-AU"/>
        </w:rPr>
        <w:t xml:space="preserve">breakage </w:t>
      </w:r>
      <w:r w:rsidR="006240DF">
        <w:rPr>
          <w:rFonts w:ascii="Calibri" w:hAnsi="Calibri" w:cs="Calibri"/>
          <w:sz w:val="22"/>
          <w:szCs w:val="22"/>
          <w:lang w:val="en-AU"/>
        </w:rPr>
        <w:t>that</w:t>
      </w:r>
      <w:r w:rsidR="00525052">
        <w:rPr>
          <w:rFonts w:ascii="Calibri" w:hAnsi="Calibri" w:cs="Calibri"/>
          <w:sz w:val="22"/>
          <w:szCs w:val="22"/>
          <w:lang w:val="en-AU"/>
        </w:rPr>
        <w:t xml:space="preserve"> can negatively impact gas production. The conventional method to </w:t>
      </w:r>
      <w:r w:rsidR="00FE22AA">
        <w:rPr>
          <w:rFonts w:ascii="Calibri" w:hAnsi="Calibri" w:cs="Calibri"/>
          <w:sz w:val="22"/>
          <w:szCs w:val="22"/>
          <w:lang w:val="en-AU"/>
        </w:rPr>
        <w:t>control</w:t>
      </w:r>
      <w:r w:rsidR="00525052">
        <w:rPr>
          <w:rFonts w:ascii="Calibri" w:hAnsi="Calibri" w:cs="Calibri"/>
          <w:sz w:val="22"/>
          <w:szCs w:val="22"/>
          <w:lang w:val="en-AU"/>
        </w:rPr>
        <w:t xml:space="preserve"> clay swelling is KCl brine, but that treatment remains effective for only short production times.</w:t>
      </w:r>
    </w:p>
    <w:p w14:paraId="4C96CBAB" w14:textId="77777777" w:rsidR="00BE475C" w:rsidRDefault="00BE475C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</w:p>
    <w:p w14:paraId="59342C4C" w14:textId="22D07907" w:rsidR="00711813" w:rsidRPr="000A6D19" w:rsidRDefault="00DD719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>
        <w:rPr>
          <w:rFonts w:ascii="Calibri" w:hAnsi="Calibri" w:cs="Calibri"/>
          <w:b/>
          <w:bCs/>
          <w:lang w:val="en-AU"/>
        </w:rPr>
        <w:t>Aims</w:t>
      </w:r>
      <w:bookmarkStart w:id="0" w:name="_GoBack"/>
      <w:bookmarkEnd w:id="0"/>
    </w:p>
    <w:p w14:paraId="4194454A" w14:textId="32BFB5C5" w:rsidR="00045573" w:rsidRDefault="00DD719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165B77">
        <w:rPr>
          <w:rFonts w:ascii="Calibri" w:hAnsi="Calibri" w:cs="Calibri"/>
          <w:b/>
          <w:bCs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6E064B" wp14:editId="2FCC2764">
                <wp:simplePos x="0" y="0"/>
                <wp:positionH relativeFrom="column">
                  <wp:posOffset>3575050</wp:posOffset>
                </wp:positionH>
                <wp:positionV relativeFrom="paragraph">
                  <wp:posOffset>55245</wp:posOffset>
                </wp:positionV>
                <wp:extent cx="2360930" cy="2933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6105" w14:textId="0B549B20" w:rsidR="00165B77" w:rsidRDefault="00165B77" w:rsidP="00165B77">
                            <w:pPr>
                              <w:keepNext/>
                            </w:pPr>
                            <w:r w:rsidRPr="00165B7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140D9E0" wp14:editId="3BA59D34">
                                  <wp:extent cx="2233295" cy="1787427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295" cy="1787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2F2D1" w14:textId="2FD0DD39" w:rsidR="00165B77" w:rsidRDefault="00165B77" w:rsidP="00165B77">
                            <w:pPr>
                              <w:pStyle w:val="Caption"/>
                            </w:pPr>
                            <w:r w:rsidRPr="00DD7193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Fig. </w:t>
                            </w:r>
                            <w:r w:rsidRPr="00DD7193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D7193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DD7193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DD7193">
                              <w:rPr>
                                <w:rFonts w:asciiTheme="minorHAnsi" w:hAnsiTheme="minorHAnsi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DD7193">
                              <w:rPr>
                                <w:rFonts w:asciiTheme="minorHAnsi" w:hAnsiTheme="minorHAnsi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Swelling index of 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>clay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 treated with 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1%wt solutions of 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>Mg salts, MgO and Mg(OH)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vertAlign w:val="subscript"/>
                                <w:lang w:val="en-AU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="006240DF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>L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ines </w:t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>show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 the raw bentonite in DI water (SI=3.2), formation water (SI=3.8) and nano MgO in </w:t>
                            </w:r>
                            <w:r w:rsidR="006240DF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>4%wt</w:t>
                            </w:r>
                            <w:r w:rsidRPr="00165B77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n-AU"/>
                              </w:rPr>
                              <w:t xml:space="preserve"> KCl (SI=2.0).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6E0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5pt;margin-top:4.35pt;width:185.9pt;height:231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aGIgIAAB4EAAAOAAAAZHJzL2Uyb0RvYy54bWysU21v2yAQ/j5p/wHxfbHjJG1jxam6dJkm&#10;dS9Sux+AMY7RgGNAYme/v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" stroked="f">
                <v:textbox>
                  <w:txbxContent>
                    <w:p w14:paraId="4B516105" w14:textId="0B549B20" w:rsidR="00165B77" w:rsidRDefault="00165B77" w:rsidP="00165B77">
                      <w:pPr>
                        <w:keepNext/>
                      </w:pPr>
                      <w:r w:rsidRPr="00165B77">
                        <w:rPr>
                          <w:noProof/>
                        </w:rPr>
                        <w:drawing>
                          <wp:inline distT="0" distB="0" distL="0" distR="0" wp14:anchorId="2140D9E0" wp14:editId="3BA59D34">
                            <wp:extent cx="2233295" cy="1787427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295" cy="1787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2F2D1" w14:textId="2FD0DD39" w:rsidR="00165B77" w:rsidRDefault="00165B77" w:rsidP="00165B77">
                      <w:pPr>
                        <w:pStyle w:val="Caption"/>
                      </w:pPr>
                      <w:r w:rsidRPr="00DD7193">
                        <w:rPr>
                          <w:rFonts w:asciiTheme="minorHAnsi" w:hAnsi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Fig. </w:t>
                      </w:r>
                      <w:r w:rsidRPr="00DD7193">
                        <w:rPr>
                          <w:rFonts w:asciiTheme="minorHAnsi" w:hAnsi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DD7193">
                        <w:rPr>
                          <w:rFonts w:asciiTheme="minorHAnsi" w:hAnsi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DD7193">
                        <w:rPr>
                          <w:rFonts w:asciiTheme="minorHAnsi" w:hAnsi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DD7193">
                        <w:rPr>
                          <w:rFonts w:asciiTheme="minorHAnsi" w:hAnsiTheme="minorHAnsi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DD7193">
                        <w:rPr>
                          <w:rFonts w:asciiTheme="minorHAnsi" w:hAnsiTheme="minorHAnsi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Swelling index of </w:t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clay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 treated with </w:t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1%wt solutions of 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Mg salts, MgO and </w:t>
                      </w:r>
                      <w:proofErr w:type="gramStart"/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Mg(</w:t>
                      </w:r>
                      <w:proofErr w:type="gramEnd"/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OH)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vertAlign w:val="subscript"/>
                          <w:lang w:val="en-AU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="006240DF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L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ines </w:t>
                      </w:r>
                      <w:r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show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 the raw bentonite in DI water (SI=3.2), formation water (SI=3.8) and </w:t>
                      </w:r>
                      <w:proofErr w:type="spellStart"/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nano</w:t>
                      </w:r>
                      <w:proofErr w:type="spellEnd"/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 MgO in </w:t>
                      </w:r>
                      <w:r w:rsidR="006240DF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4%wt</w:t>
                      </w:r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proofErr w:type="spellStart"/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>KCl</w:t>
                      </w:r>
                      <w:proofErr w:type="spellEnd"/>
                      <w:r w:rsidRPr="00165B77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n-AU"/>
                        </w:rPr>
                        <w:t xml:space="preserve"> (SI=2.0).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5052">
        <w:rPr>
          <w:rFonts w:ascii="Calibri" w:hAnsi="Calibri" w:cs="Calibri"/>
          <w:sz w:val="22"/>
          <w:szCs w:val="22"/>
          <w:lang w:val="en-AU"/>
        </w:rPr>
        <w:t>Our project aims to develop clay swelling inhibitors that last longer than KCl brine. We evaluated the effectiveness of (i) six types of nanoparticles (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>Al</w:t>
      </w:r>
      <w:r w:rsidR="00525052" w:rsidRPr="0052505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>O</w:t>
      </w:r>
      <w:r w:rsidR="00525052" w:rsidRPr="00525052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>, ZnO, ZrO</w:t>
      </w:r>
      <w:r w:rsidR="00525052" w:rsidRPr="0052505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525052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>Fe</w:t>
      </w:r>
      <w:r w:rsidR="00525052" w:rsidRPr="0052505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>O</w:t>
      </w:r>
      <w:r w:rsidR="00525052" w:rsidRPr="00525052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>, SiO</w:t>
      </w:r>
      <w:r w:rsidR="00525052" w:rsidRPr="0052505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525052">
        <w:rPr>
          <w:rFonts w:ascii="Calibri" w:hAnsi="Calibri" w:cs="Calibri"/>
          <w:sz w:val="22"/>
          <w:szCs w:val="22"/>
          <w:lang w:val="en-AU"/>
        </w:rPr>
        <w:t>,</w:t>
      </w:r>
      <w:r w:rsidR="00525052" w:rsidRPr="00525052">
        <w:rPr>
          <w:rFonts w:ascii="Calibri" w:hAnsi="Calibri" w:cs="Calibri"/>
          <w:sz w:val="22"/>
          <w:szCs w:val="22"/>
          <w:lang w:val="en-AU"/>
        </w:rPr>
        <w:t xml:space="preserve"> MgO</w:t>
      </w:r>
      <w:r w:rsidR="00525052">
        <w:rPr>
          <w:rFonts w:ascii="Calibri" w:hAnsi="Calibri" w:cs="Calibri"/>
          <w:sz w:val="22"/>
          <w:szCs w:val="22"/>
          <w:lang w:val="en-AU"/>
        </w:rPr>
        <w:t>) and (ii) various other sources of Mg cations to control swelling of a model bentonite clay.</w:t>
      </w:r>
    </w:p>
    <w:p w14:paraId="1A1B1EE5" w14:textId="2C5CC1FF" w:rsidR="00BE475C" w:rsidRDefault="00BE475C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</w:p>
    <w:p w14:paraId="70330504" w14:textId="2158B34D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70546230" w14:textId="26EF7ACA" w:rsidR="00045573" w:rsidRPr="00FE22AA" w:rsidRDefault="00FE22AA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The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bentonite clay </w:t>
      </w:r>
      <w:r>
        <w:rPr>
          <w:rFonts w:ascii="Calibri" w:hAnsi="Calibri" w:cs="Calibri"/>
          <w:sz w:val="22"/>
          <w:szCs w:val="22"/>
          <w:lang w:val="en-AU"/>
        </w:rPr>
        <w:t xml:space="preserve">was from 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AMCOL mine </w:t>
      </w:r>
      <w:r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>Miles, Queensland</w:t>
      </w:r>
      <w:r>
        <w:rPr>
          <w:rFonts w:ascii="Calibri" w:hAnsi="Calibri" w:cs="Calibri"/>
          <w:sz w:val="22"/>
          <w:szCs w:val="22"/>
          <w:lang w:val="en-AU"/>
        </w:rPr>
        <w:t>. We evaluated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swelling inhibition treatments in visual swelling experiments (ASTM D5890-11 (Pham &amp; Nguyen, 2014))</w:t>
      </w:r>
      <w:r>
        <w:rPr>
          <w:rFonts w:ascii="Calibri" w:hAnsi="Calibri" w:cs="Calibri"/>
          <w:sz w:val="22"/>
          <w:szCs w:val="22"/>
          <w:lang w:val="en-AU"/>
        </w:rPr>
        <w:t xml:space="preserve"> with the measured 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>swelling index</w:t>
      </w:r>
      <w:r w:rsidRPr="00FE22A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E22AA">
        <w:rPr>
          <w:rFonts w:ascii="Calibri" w:hAnsi="Calibri" w:cs="Calibri"/>
          <w:i/>
          <w:sz w:val="22"/>
          <w:szCs w:val="22"/>
          <w:lang w:val="en-AU"/>
        </w:rPr>
        <w:t>SI</w:t>
      </w:r>
      <w:r w:rsidRPr="00FE22AA">
        <w:rPr>
          <w:rFonts w:ascii="Calibri" w:hAnsi="Calibri" w:cs="Calibri"/>
          <w:sz w:val="22"/>
          <w:szCs w:val="22"/>
          <w:lang w:val="en-AU"/>
        </w:rPr>
        <w:t>,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calculated </w:t>
      </w:r>
      <w:r w:rsidRPr="00FE22AA">
        <w:rPr>
          <w:rFonts w:ascii="Calibri" w:hAnsi="Calibri" w:cs="Calibri"/>
          <w:sz w:val="22"/>
          <w:szCs w:val="22"/>
          <w:lang w:val="en-AU"/>
        </w:rPr>
        <w:t>using</w:t>
      </w:r>
      <w:r w:rsidRPr="00FE22AA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m:oMath>
        <m:r>
          <w:rPr>
            <w:rFonts w:ascii="Cambria Math" w:hAnsi="Cambria Math" w:cs="Calibri"/>
            <w:sz w:val="22"/>
            <w:szCs w:val="22"/>
            <w:lang w:val="en-AU"/>
          </w:rPr>
          <m:t>SI=</m:t>
        </m:r>
        <m:f>
          <m:fPr>
            <m:type m:val="lin"/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fPr>
          <m:num>
            <m:d>
              <m:dPr>
                <m:ctrlPr>
                  <w:rPr>
                    <w:rFonts w:ascii="Cambria Math" w:hAnsi="Cambria Math" w:cs="Calibri"/>
                    <w:i/>
                    <w:sz w:val="22"/>
                    <w:szCs w:val="22"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2"/>
                        <w:szCs w:val="22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22"/>
                        <w:szCs w:val="22"/>
                        <w:lang w:val="en-AU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2"/>
                        <w:szCs w:val="22"/>
                        <w:lang w:val="en-AU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2"/>
                        <w:szCs w:val="22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22"/>
                        <w:szCs w:val="22"/>
                        <w:lang w:val="en-AU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2"/>
                        <w:szCs w:val="22"/>
                        <w:lang w:val="en-AU"/>
                      </w:rPr>
                      <m:t>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sz w:val="22"/>
                    <w:szCs w:val="22"/>
                    <w:lang w:val="en-AU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h</m:t>
                </m:r>
              </m:e>
              <m:sub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i</m:t>
                </m:r>
              </m:sub>
            </m:sSub>
          </m:den>
        </m:f>
      </m:oMath>
      <w:r>
        <w:rPr>
          <w:rFonts w:ascii="Calibri" w:hAnsi="Calibri"/>
          <w:sz w:val="22"/>
          <w:szCs w:val="22"/>
        </w:rPr>
        <w:t xml:space="preserve">, </w:t>
      </w:r>
      <w:r w:rsidRPr="00FE22AA">
        <w:rPr>
          <w:rFonts w:ascii="Calibri" w:hAnsi="Calibri"/>
          <w:sz w:val="22"/>
          <w:szCs w:val="22"/>
        </w:rPr>
        <w:t xml:space="preserve">where </w:t>
      </w:r>
      <w:r w:rsidRPr="00FE22AA">
        <w:rPr>
          <w:rFonts w:ascii="Calibri" w:hAnsi="Calibri"/>
          <w:i/>
          <w:sz w:val="22"/>
          <w:szCs w:val="22"/>
        </w:rPr>
        <w:t>h</w:t>
      </w:r>
      <w:r w:rsidRPr="00FE22AA">
        <w:rPr>
          <w:rFonts w:ascii="Calibri" w:hAnsi="Calibri"/>
          <w:i/>
          <w:sz w:val="22"/>
          <w:szCs w:val="22"/>
          <w:vertAlign w:val="subscript"/>
        </w:rPr>
        <w:t>t</w:t>
      </w:r>
      <w:r w:rsidRPr="00FE22AA">
        <w:rPr>
          <w:rFonts w:ascii="Calibri" w:hAnsi="Calibri"/>
          <w:sz w:val="22"/>
          <w:szCs w:val="22"/>
        </w:rPr>
        <w:t xml:space="preserve"> and </w:t>
      </w:r>
      <w:r w:rsidRPr="00FE22AA">
        <w:rPr>
          <w:rFonts w:ascii="Calibri" w:hAnsi="Calibri"/>
          <w:i/>
          <w:sz w:val="22"/>
          <w:szCs w:val="22"/>
        </w:rPr>
        <w:t>h</w:t>
      </w:r>
      <w:r w:rsidRPr="00FE22AA">
        <w:rPr>
          <w:rFonts w:ascii="Calibri" w:hAnsi="Calibri"/>
          <w:i/>
          <w:sz w:val="22"/>
          <w:szCs w:val="22"/>
          <w:vertAlign w:val="subscript"/>
        </w:rPr>
        <w:t>i</w:t>
      </w:r>
      <w:r w:rsidRPr="00FE22AA">
        <w:rPr>
          <w:rFonts w:ascii="Calibri" w:hAnsi="Calibri"/>
          <w:sz w:val="22"/>
          <w:szCs w:val="22"/>
        </w:rPr>
        <w:t xml:space="preserve"> are the final and initial heights of the clay bed. 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Another </w:t>
      </w:r>
      <w:r>
        <w:rPr>
          <w:rFonts w:ascii="Calibri" w:hAnsi="Calibri" w:cs="Calibri"/>
          <w:sz w:val="22"/>
          <w:szCs w:val="22"/>
          <w:lang w:val="en-AU"/>
        </w:rPr>
        <w:t>second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e</w:t>
      </w:r>
      <w:r>
        <w:rPr>
          <w:rFonts w:ascii="Calibri" w:hAnsi="Calibri" w:cs="Calibri"/>
          <w:sz w:val="22"/>
          <w:szCs w:val="22"/>
          <w:lang w:val="en-AU"/>
        </w:rPr>
        <w:t>xperiment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on mud</w:t>
      </w:r>
      <w:r w:rsidR="00F164F4">
        <w:rPr>
          <w:rFonts w:ascii="Calibri" w:hAnsi="Calibri" w:cs="Calibri"/>
          <w:sz w:val="22"/>
          <w:szCs w:val="22"/>
          <w:lang w:val="en-AU"/>
        </w:rPr>
        <w:t>stone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samples </w:t>
      </w:r>
      <w:r>
        <w:rPr>
          <w:rFonts w:ascii="Calibri" w:hAnsi="Calibri" w:cs="Calibri"/>
          <w:sz w:val="22"/>
          <w:szCs w:val="22"/>
          <w:lang w:val="en-AU"/>
        </w:rPr>
        <w:t>was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 performed in a flow-cell with circulating </w:t>
      </w:r>
      <w:r>
        <w:rPr>
          <w:rFonts w:ascii="Calibri" w:hAnsi="Calibri" w:cs="Calibri"/>
          <w:sz w:val="22"/>
          <w:szCs w:val="22"/>
          <w:lang w:val="en-AU"/>
        </w:rPr>
        <w:t>model formation w</w:t>
      </w:r>
      <w:r w:rsidR="00525052" w:rsidRPr="00FE22AA">
        <w:rPr>
          <w:rFonts w:ascii="Calibri" w:hAnsi="Calibri" w:cs="Calibri"/>
          <w:sz w:val="22"/>
          <w:szCs w:val="22"/>
          <w:lang w:val="en-AU"/>
        </w:rPr>
        <w:t xml:space="preserve">ater. </w:t>
      </w:r>
      <w:r w:rsidRPr="00FE22AA">
        <w:rPr>
          <w:rFonts w:ascii="Calibri" w:hAnsi="Calibri" w:cs="Calibri"/>
          <w:sz w:val="22"/>
          <w:szCs w:val="22"/>
          <w:lang w:val="en-AU"/>
        </w:rPr>
        <w:t xml:space="preserve">The clay </w:t>
      </w:r>
      <w:r>
        <w:rPr>
          <w:rFonts w:ascii="Calibri" w:hAnsi="Calibri" w:cs="Calibri"/>
          <w:sz w:val="22"/>
          <w:szCs w:val="22"/>
          <w:lang w:val="en-AU"/>
        </w:rPr>
        <w:t xml:space="preserve">before and after treatment </w:t>
      </w:r>
      <w:r w:rsidRPr="00FE22AA">
        <w:rPr>
          <w:rFonts w:ascii="Calibri" w:hAnsi="Calibri" w:cs="Calibri"/>
          <w:sz w:val="22"/>
          <w:szCs w:val="22"/>
          <w:lang w:val="en-AU"/>
        </w:rPr>
        <w:t>was characterised by XRD</w:t>
      </w:r>
      <w:r>
        <w:rPr>
          <w:rFonts w:ascii="Calibri" w:hAnsi="Calibri" w:cs="Calibri"/>
          <w:sz w:val="22"/>
          <w:szCs w:val="22"/>
          <w:lang w:val="en-AU"/>
        </w:rPr>
        <w:t xml:space="preserve">, XPS, </w:t>
      </w:r>
      <w:r w:rsidR="00F164F4">
        <w:rPr>
          <w:rFonts w:ascii="Calibri" w:hAnsi="Calibri" w:cs="Calibri"/>
          <w:sz w:val="22"/>
          <w:szCs w:val="22"/>
          <w:lang w:val="en-AU"/>
        </w:rPr>
        <w:t>and TGA to understand clay swelling inhibition mechanism with MgO nanoparticles</w:t>
      </w:r>
      <w:r>
        <w:rPr>
          <w:rFonts w:ascii="Calibri" w:hAnsi="Calibri" w:cs="Calibri"/>
          <w:sz w:val="22"/>
          <w:szCs w:val="22"/>
          <w:lang w:val="en-AU"/>
        </w:rPr>
        <w:t>.</w:t>
      </w:r>
    </w:p>
    <w:p w14:paraId="261748A3" w14:textId="77777777" w:rsidR="00BE475C" w:rsidRDefault="00BE475C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</w:p>
    <w:p w14:paraId="7047AF77" w14:textId="4DA09F97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  <w:r w:rsidR="00FE22AA">
        <w:rPr>
          <w:rFonts w:ascii="Calibri" w:hAnsi="Calibri" w:cs="Calibri"/>
          <w:b/>
          <w:bCs/>
          <w:lang w:val="en-AU"/>
        </w:rPr>
        <w:t>and Discussion</w:t>
      </w:r>
    </w:p>
    <w:p w14:paraId="431184C6" w14:textId="3FD8B4F8" w:rsidR="00165B77" w:rsidRPr="00165B77" w:rsidRDefault="00FE22AA" w:rsidP="00165B77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FE22AA">
        <w:rPr>
          <w:rFonts w:ascii="Calibri" w:hAnsi="Calibri" w:cs="Calibri"/>
          <w:sz w:val="22"/>
          <w:szCs w:val="22"/>
          <w:lang w:val="en-AU"/>
        </w:rPr>
        <w:t xml:space="preserve">The most effective </w:t>
      </w:r>
      <w:r>
        <w:rPr>
          <w:rFonts w:ascii="Calibri" w:hAnsi="Calibri" w:cs="Calibri"/>
          <w:sz w:val="22"/>
          <w:szCs w:val="22"/>
          <w:lang w:val="en-AU"/>
        </w:rPr>
        <w:t>nanoparticles to control swelling</w:t>
      </w:r>
      <w:r w:rsidRPr="00FE22AA">
        <w:rPr>
          <w:rFonts w:ascii="Calibri" w:hAnsi="Calibri" w:cs="Calibri"/>
          <w:sz w:val="22"/>
          <w:szCs w:val="22"/>
          <w:lang w:val="en-AU"/>
        </w:rPr>
        <w:t xml:space="preserve"> were SiO</w:t>
      </w:r>
      <w:r w:rsidRPr="00FE22A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E22AA">
        <w:rPr>
          <w:rFonts w:ascii="Calibri" w:hAnsi="Calibri" w:cs="Calibri"/>
          <w:sz w:val="22"/>
          <w:szCs w:val="22"/>
          <w:lang w:val="en-AU"/>
        </w:rPr>
        <w:t xml:space="preserve"> and MgO</w:t>
      </w:r>
      <w:r w:rsidR="006240DF">
        <w:rPr>
          <w:rFonts w:ascii="Calibri" w:hAnsi="Calibri" w:cs="Calibri"/>
          <w:sz w:val="22"/>
          <w:szCs w:val="22"/>
          <w:lang w:val="en-AU"/>
        </w:rPr>
        <w:t>, and these were more effective than 4%wt KCl treatment</w:t>
      </w:r>
      <w:r w:rsidRPr="00FE22AA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However, </w:t>
      </w:r>
      <w:r w:rsidRPr="00FE22AA">
        <w:rPr>
          <w:rFonts w:ascii="Calibri" w:hAnsi="Calibri" w:cs="Calibri"/>
          <w:sz w:val="22"/>
          <w:szCs w:val="22"/>
          <w:lang w:val="en-AU"/>
        </w:rPr>
        <w:t xml:space="preserve">MgO nanoparticles </w:t>
      </w:r>
      <w:r w:rsidR="00F67C81">
        <w:rPr>
          <w:rFonts w:ascii="Calibri" w:hAnsi="Calibri" w:cs="Calibri"/>
          <w:sz w:val="22"/>
          <w:szCs w:val="22"/>
          <w:lang w:val="en-AU"/>
        </w:rPr>
        <w:t xml:space="preserve">showed no great advantages compared to </w:t>
      </w:r>
      <w:r w:rsidRPr="00FE22AA">
        <w:rPr>
          <w:rFonts w:ascii="Calibri" w:hAnsi="Calibri" w:cs="Calibri"/>
          <w:sz w:val="22"/>
          <w:szCs w:val="22"/>
          <w:lang w:val="en-AU"/>
        </w:rPr>
        <w:t>soluble magnesium salts</w:t>
      </w:r>
      <w:r w:rsidR="00F164F4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FE22AA">
        <w:rPr>
          <w:rFonts w:ascii="Calibri" w:hAnsi="Calibri" w:cs="Calibri"/>
          <w:sz w:val="22"/>
          <w:szCs w:val="22"/>
          <w:lang w:val="en-AU"/>
        </w:rPr>
        <w:t>or Mg(OH)</w:t>
      </w:r>
      <w:r w:rsidRPr="00FE22A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165B77">
        <w:rPr>
          <w:rFonts w:ascii="Calibri" w:hAnsi="Calibri" w:cs="Calibri"/>
          <w:sz w:val="22"/>
          <w:szCs w:val="22"/>
          <w:lang w:val="en-AU"/>
        </w:rPr>
        <w:t xml:space="preserve"> powder</w:t>
      </w:r>
      <w:r w:rsidR="00F67C81">
        <w:rPr>
          <w:rFonts w:ascii="Calibri" w:hAnsi="Calibri" w:cs="Calibri"/>
          <w:sz w:val="22"/>
          <w:szCs w:val="22"/>
          <w:lang w:val="en-AU"/>
        </w:rPr>
        <w:t xml:space="preserve"> (Fig. 1)</w:t>
      </w:r>
      <w:r w:rsidR="00165B77">
        <w:rPr>
          <w:rFonts w:ascii="Calibri" w:hAnsi="Calibri" w:cs="Calibri"/>
          <w:sz w:val="22"/>
          <w:szCs w:val="22"/>
          <w:lang w:val="en-AU"/>
        </w:rPr>
        <w:t>.</w:t>
      </w:r>
      <w:r w:rsidR="00F67C8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65B77">
        <w:rPr>
          <w:rFonts w:ascii="Calibri" w:hAnsi="Calibri" w:cs="Calibri"/>
          <w:sz w:val="22"/>
          <w:szCs w:val="22"/>
          <w:lang w:val="en-AU"/>
        </w:rPr>
        <w:t xml:space="preserve">Based on the </w:t>
      </w:r>
      <w:r w:rsidR="00165B77" w:rsidRPr="00165B77">
        <w:rPr>
          <w:rFonts w:ascii="Calibri" w:hAnsi="Calibri" w:cs="Calibri"/>
          <w:sz w:val="22"/>
          <w:szCs w:val="22"/>
          <w:lang w:val="en-AU"/>
        </w:rPr>
        <w:t xml:space="preserve">XRD, </w:t>
      </w:r>
      <w:r w:rsidR="00165B77">
        <w:rPr>
          <w:rFonts w:ascii="Calibri" w:hAnsi="Calibri" w:cs="Calibri"/>
          <w:sz w:val="22"/>
          <w:szCs w:val="22"/>
          <w:lang w:val="en-AU"/>
        </w:rPr>
        <w:t>XPS</w:t>
      </w:r>
      <w:r w:rsidR="00165B77" w:rsidRPr="00165B77">
        <w:rPr>
          <w:rFonts w:ascii="Calibri" w:hAnsi="Calibri" w:cs="Calibri"/>
          <w:sz w:val="22"/>
          <w:szCs w:val="22"/>
          <w:lang w:val="en-AU"/>
        </w:rPr>
        <w:t xml:space="preserve">, and </w:t>
      </w:r>
      <w:r w:rsidR="00165B77">
        <w:rPr>
          <w:rFonts w:ascii="Calibri" w:hAnsi="Calibri" w:cs="Calibri"/>
          <w:sz w:val="22"/>
          <w:szCs w:val="22"/>
          <w:lang w:val="en-AU"/>
        </w:rPr>
        <w:t>TGA</w:t>
      </w:r>
      <w:r w:rsidR="00165B77" w:rsidRPr="00165B7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65B77">
        <w:rPr>
          <w:rFonts w:ascii="Calibri" w:hAnsi="Calibri" w:cs="Calibri"/>
          <w:sz w:val="22"/>
          <w:szCs w:val="22"/>
          <w:lang w:val="en-AU"/>
        </w:rPr>
        <w:t>studies we propose that the reasons why</w:t>
      </w:r>
      <w:r w:rsidR="00165B77" w:rsidRPr="00165B77">
        <w:rPr>
          <w:rFonts w:ascii="Calibri" w:hAnsi="Calibri" w:cs="Calibri"/>
          <w:sz w:val="22"/>
          <w:szCs w:val="22"/>
          <w:lang w:val="en-AU"/>
        </w:rPr>
        <w:t xml:space="preserve"> MgO NPs and Mg(OH)</w:t>
      </w:r>
      <w:r w:rsidR="00165B77" w:rsidRPr="00165B7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165B77" w:rsidRPr="00165B77">
        <w:rPr>
          <w:rFonts w:ascii="Calibri" w:hAnsi="Calibri" w:cs="Calibri"/>
          <w:sz w:val="22"/>
          <w:szCs w:val="22"/>
          <w:lang w:val="en-AU"/>
        </w:rPr>
        <w:t xml:space="preserve"> were most effective at long term clay swelling inhibition</w:t>
      </w:r>
      <w:r w:rsidR="00165B77">
        <w:rPr>
          <w:rFonts w:ascii="Calibri" w:hAnsi="Calibri" w:cs="Calibri"/>
          <w:sz w:val="22"/>
          <w:szCs w:val="22"/>
          <w:lang w:val="en-AU"/>
        </w:rPr>
        <w:t xml:space="preserve"> could be:</w:t>
      </w:r>
    </w:p>
    <w:p w14:paraId="121F8589" w14:textId="7BAFF225" w:rsidR="00165B77" w:rsidRPr="00165B77" w:rsidRDefault="00165B77" w:rsidP="00165B77">
      <w:pPr>
        <w:numPr>
          <w:ilvl w:val="0"/>
          <w:numId w:val="3"/>
        </w:num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165B77">
        <w:rPr>
          <w:rFonts w:ascii="Calibri" w:hAnsi="Calibri" w:cs="Calibri"/>
          <w:sz w:val="22"/>
          <w:szCs w:val="22"/>
          <w:lang w:val="en-AU"/>
        </w:rPr>
        <w:t>Mg(OH)</w:t>
      </w:r>
      <w:r w:rsidRPr="00165B7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165B77">
        <w:rPr>
          <w:rFonts w:ascii="Calibri" w:hAnsi="Calibri" w:cs="Calibri"/>
          <w:sz w:val="22"/>
          <w:szCs w:val="22"/>
          <w:lang w:val="en-AU"/>
        </w:rPr>
        <w:t xml:space="preserve"> can adsorb physically on the surface of bentonite clay and this species is difficult to remove from the surface. And, </w:t>
      </w:r>
    </w:p>
    <w:p w14:paraId="76AB837E" w14:textId="4397DE00" w:rsidR="00165B77" w:rsidRPr="00165B77" w:rsidRDefault="00165B77" w:rsidP="00165B77">
      <w:pPr>
        <w:pStyle w:val="ListParagraph"/>
        <w:numPr>
          <w:ilvl w:val="0"/>
          <w:numId w:val="3"/>
        </w:num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165B77">
        <w:rPr>
          <w:rFonts w:ascii="Calibri" w:hAnsi="Calibri" w:cs="Calibri"/>
          <w:sz w:val="22"/>
          <w:szCs w:val="22"/>
          <w:lang w:val="en-AU"/>
        </w:rPr>
        <w:t>The adsorption of Mg(OH)</w:t>
      </w:r>
      <w:r w:rsidRPr="00165B7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165B77">
        <w:rPr>
          <w:rFonts w:ascii="Calibri" w:hAnsi="Calibri" w:cs="Calibri"/>
          <w:sz w:val="22"/>
          <w:szCs w:val="22"/>
          <w:lang w:val="en-AU"/>
        </w:rPr>
        <w:t xml:space="preserve"> on to the clay surface can interfere the penetration of water in the clay structure leading to swelling inhibition.</w:t>
      </w:r>
    </w:p>
    <w:p w14:paraId="0DA9FECC" w14:textId="77777777" w:rsidR="00BE475C" w:rsidRDefault="00BE475C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</w:p>
    <w:p w14:paraId="1B6B0F8E" w14:textId="1558E085" w:rsidR="00F67C81" w:rsidRDefault="00F67C81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Conclusions</w:t>
      </w:r>
    </w:p>
    <w:p w14:paraId="5C0FA6F8" w14:textId="4299A1CB" w:rsidR="00F67C81" w:rsidRDefault="006240DF" w:rsidP="009A4CFF">
      <w:pPr>
        <w:ind w:left="284" w:right="282"/>
        <w:jc w:val="both"/>
        <w:rPr>
          <w:rFonts w:ascii="Calibri" w:hAnsi="Calibri" w:cs="Calibri"/>
          <w:sz w:val="22"/>
          <w:lang w:val="en-AU"/>
        </w:rPr>
      </w:pPr>
      <w:r>
        <w:rPr>
          <w:rFonts w:ascii="Calibri" w:hAnsi="Calibri" w:cs="Calibri"/>
          <w:sz w:val="22"/>
          <w:lang w:val="en-AU"/>
        </w:rPr>
        <w:t xml:space="preserve">Our results suggest there is no great benefit to use nanoparticles instead of </w:t>
      </w:r>
      <w:r w:rsidR="00F164F4">
        <w:rPr>
          <w:rFonts w:ascii="Calibri" w:hAnsi="Calibri" w:cs="Calibri"/>
          <w:sz w:val="22"/>
          <w:lang w:val="en-AU"/>
        </w:rPr>
        <w:br/>
        <w:t>Mg(OH)</w:t>
      </w:r>
      <w:r w:rsidR="00F164F4" w:rsidRPr="00F164F4">
        <w:rPr>
          <w:rFonts w:ascii="Calibri" w:hAnsi="Calibri" w:cs="Calibri"/>
          <w:sz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lang w:val="en-AU"/>
        </w:rPr>
        <w:t>. We conclude its unlikely these nanoparticle treatments would be cost-effective or practical for use in CSG wells. Further work in our lab has identified alternate techniques to deliver Mg and a base to the clay-rich layers and transform swelling smectite clays to non-swelling chlorite structures.</w:t>
      </w:r>
    </w:p>
    <w:p w14:paraId="193725D9" w14:textId="59A3B72A" w:rsid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DB39B2F" w14:textId="1AE0C369" w:rsidR="00DD7193" w:rsidRDefault="006240DF" w:rsidP="00F164F4">
      <w:pPr>
        <w:shd w:val="clear" w:color="auto" w:fill="FFFFFF"/>
        <w:ind w:left="284" w:right="282"/>
        <w:jc w:val="both"/>
        <w:textAlignment w:val="top"/>
        <w:rPr>
          <w:rFonts w:ascii="Calibri" w:hAnsi="Calibri" w:cs="Calibri"/>
          <w:sz w:val="22"/>
          <w:szCs w:val="22"/>
          <w:lang w:val="en-AU"/>
        </w:rPr>
      </w:pPr>
      <w:r w:rsidRPr="006240DF">
        <w:rPr>
          <w:rFonts w:asciiTheme="minorHAnsi" w:hAnsiTheme="minorHAnsi"/>
          <w:sz w:val="22"/>
          <w:szCs w:val="22"/>
        </w:rPr>
        <w:t xml:space="preserve">Towler, B., Firouzi, M. et al. 2016. An overview of the coal seam gas developments in Queensland. </w:t>
      </w:r>
      <w:r>
        <w:rPr>
          <w:rFonts w:asciiTheme="minorHAnsi" w:hAnsiTheme="minorHAnsi"/>
          <w:i/>
          <w:sz w:val="22"/>
          <w:szCs w:val="22"/>
        </w:rPr>
        <w:t xml:space="preserve">Journal of </w:t>
      </w:r>
      <w:r w:rsidRPr="006240DF">
        <w:rPr>
          <w:rFonts w:asciiTheme="minorHAnsi" w:hAnsiTheme="minorHAnsi"/>
          <w:i/>
          <w:sz w:val="22"/>
          <w:szCs w:val="22"/>
        </w:rPr>
        <w:t>Natural Gas Science and Engineering</w:t>
      </w:r>
      <w:r w:rsidRPr="006240DF">
        <w:rPr>
          <w:rFonts w:asciiTheme="minorHAnsi" w:hAnsiTheme="minorHAnsi"/>
          <w:sz w:val="22"/>
          <w:szCs w:val="22"/>
        </w:rPr>
        <w:t xml:space="preserve"> 31, 249-271.</w:t>
      </w:r>
    </w:p>
    <w:p w14:paraId="3BEB1FE3" w14:textId="460FF840" w:rsidR="006240DF" w:rsidRPr="006B3866" w:rsidRDefault="006240DF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Corresponding author: </w:t>
      </w:r>
      <w:r w:rsidRPr="006240DF">
        <w:rPr>
          <w:rFonts w:ascii="Calibri" w:hAnsi="Calibri" w:cs="Calibri"/>
          <w:sz w:val="22"/>
          <w:szCs w:val="22"/>
          <w:lang w:val="en-AU"/>
        </w:rPr>
        <w:t>t.rufford@uq.edu.au</w:t>
      </w:r>
    </w:p>
    <w:sectPr w:rsidR="006240DF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AFB5" w14:textId="77777777" w:rsidR="004F7FC7" w:rsidRDefault="004F7FC7" w:rsidP="003D64C6">
      <w:r>
        <w:separator/>
      </w:r>
    </w:p>
  </w:endnote>
  <w:endnote w:type="continuationSeparator" w:id="0">
    <w:p w14:paraId="0E4357ED" w14:textId="77777777" w:rsidR="004F7FC7" w:rsidRDefault="004F7FC7" w:rsidP="003D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59BD" w14:textId="77777777" w:rsidR="004F7FC7" w:rsidRDefault="004F7FC7" w:rsidP="003D64C6">
      <w:r>
        <w:separator/>
      </w:r>
    </w:p>
  </w:footnote>
  <w:footnote w:type="continuationSeparator" w:id="0">
    <w:p w14:paraId="4F2140B8" w14:textId="77777777" w:rsidR="004F7FC7" w:rsidRDefault="004F7FC7" w:rsidP="003D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5CD3"/>
    <w:multiLevelType w:val="hybridMultilevel"/>
    <w:tmpl w:val="CC62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1BAB"/>
    <w:multiLevelType w:val="hybridMultilevel"/>
    <w:tmpl w:val="60E0EE60"/>
    <w:lvl w:ilvl="0" w:tplc="0C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NTY2NTcyMDUyMzVU0lEKTi0uzszPAykwqgUA4QNBASwAAAA="/>
  </w:docVars>
  <w:rsids>
    <w:rsidRoot w:val="002226BB"/>
    <w:rsid w:val="0004118E"/>
    <w:rsid w:val="00045573"/>
    <w:rsid w:val="00065A1E"/>
    <w:rsid w:val="000A6D19"/>
    <w:rsid w:val="00165B77"/>
    <w:rsid w:val="001A21AD"/>
    <w:rsid w:val="002078AD"/>
    <w:rsid w:val="002226BB"/>
    <w:rsid w:val="00225236"/>
    <w:rsid w:val="002272B0"/>
    <w:rsid w:val="00300B92"/>
    <w:rsid w:val="0030585E"/>
    <w:rsid w:val="00387491"/>
    <w:rsid w:val="003D64C6"/>
    <w:rsid w:val="00411C38"/>
    <w:rsid w:val="00447188"/>
    <w:rsid w:val="00483B05"/>
    <w:rsid w:val="004E28B9"/>
    <w:rsid w:val="004E5450"/>
    <w:rsid w:val="004F7FC7"/>
    <w:rsid w:val="00516131"/>
    <w:rsid w:val="005226A8"/>
    <w:rsid w:val="00525052"/>
    <w:rsid w:val="0055229D"/>
    <w:rsid w:val="00562D19"/>
    <w:rsid w:val="0057371D"/>
    <w:rsid w:val="0059609A"/>
    <w:rsid w:val="00597659"/>
    <w:rsid w:val="005E48A2"/>
    <w:rsid w:val="005F19FF"/>
    <w:rsid w:val="006240DF"/>
    <w:rsid w:val="00641190"/>
    <w:rsid w:val="006448F3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BE475C"/>
    <w:rsid w:val="00C60A71"/>
    <w:rsid w:val="00CC165A"/>
    <w:rsid w:val="00D55F3B"/>
    <w:rsid w:val="00DA2731"/>
    <w:rsid w:val="00DA6E84"/>
    <w:rsid w:val="00DB4497"/>
    <w:rsid w:val="00DC0ABB"/>
    <w:rsid w:val="00DD7193"/>
    <w:rsid w:val="00DF1C8E"/>
    <w:rsid w:val="00EF12F3"/>
    <w:rsid w:val="00F164F4"/>
    <w:rsid w:val="00F26BBE"/>
    <w:rsid w:val="00F67C81"/>
    <w:rsid w:val="00F97620"/>
    <w:rsid w:val="00FD5F16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4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4C6"/>
    <w:rPr>
      <w:lang w:val="en-US"/>
    </w:rPr>
  </w:style>
  <w:style w:type="character" w:styleId="FootnoteReference">
    <w:name w:val="footnote reference"/>
    <w:rsid w:val="003D64C6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E22AA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65B77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3021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Tom Rufford</cp:lastModifiedBy>
  <cp:revision>3</cp:revision>
  <cp:lastPrinted>2013-06-13T05:15:00Z</cp:lastPrinted>
  <dcterms:created xsi:type="dcterms:W3CDTF">2019-09-01T23:46:00Z</dcterms:created>
  <dcterms:modified xsi:type="dcterms:W3CDTF">2019-09-02T04:06:00Z</dcterms:modified>
</cp:coreProperties>
</file>