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F1B9" w14:textId="7A65C9CD" w:rsidR="00C315D2" w:rsidRPr="00C315D2" w:rsidRDefault="006768F5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>
        <w:rPr>
          <w:b/>
        </w:rPr>
        <w:t xml:space="preserve">Determining the Optimal Dosing of Methyldopa in Pregnancy-Induced Hypertension Using PBPK-PK/PD </w:t>
      </w:r>
      <w:proofErr w:type="spellStart"/>
      <w:r>
        <w:rPr>
          <w:b/>
        </w:rPr>
        <w:t>Modeling</w:t>
      </w:r>
      <w:proofErr w:type="spellEnd"/>
    </w:p>
    <w:p w14:paraId="7C2CE58B" w14:textId="3174F878" w:rsidR="006768F5" w:rsidRPr="006768F5" w:rsidRDefault="006768F5" w:rsidP="006768F5">
      <w:pP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6768F5">
        <w:rPr>
          <w:b/>
          <w:bCs/>
          <w:u w:val="single"/>
        </w:rPr>
        <w:t>X</w:t>
      </w:r>
      <w:r w:rsidRPr="006768F5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inyang Liu¹,</w:t>
      </w:r>
      <w:r w:rsidRPr="006768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6768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Wei Wang</w:t>
      </w:r>
      <w:r w:rsidRPr="006768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¹, </w:t>
      </w:r>
      <w:proofErr w:type="spellStart"/>
      <w:r w:rsidRPr="006768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Jinying</w:t>
      </w:r>
      <w:proofErr w:type="spellEnd"/>
      <w:r w:rsidRPr="006768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Zhu</w:t>
      </w:r>
      <w:r w:rsidRPr="006768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¹, Defang Ouyang¹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27DE6DE8" w14:textId="07F796FE" w:rsidR="006768F5" w:rsidRPr="006768F5" w:rsidRDefault="006768F5" w:rsidP="006768F5">
      <w:pP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6768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Institute of Chinese Medical Sciences (ICMS)</w:t>
      </w:r>
      <w:r w:rsidRPr="006768F5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 xml:space="preserve"> 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6768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University of Macau, Macau, China</w:t>
      </w:r>
    </w:p>
    <w:p w14:paraId="2DD37039" w14:textId="40684E56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19983744" w14:textId="3C356D61" w:rsidR="001074B0" w:rsidRPr="001074B0" w:rsidRDefault="00B8473A" w:rsidP="001074B0">
      <w:pP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1074B0" w:rsidRPr="001074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Pregnancy-induced hypertension is a significant risk factor for adverse maternal and </w:t>
      </w:r>
      <w:proofErr w:type="spellStart"/>
      <w:r w:rsidR="001074B0" w:rsidRPr="001074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fetal</w:t>
      </w:r>
      <w:proofErr w:type="spellEnd"/>
      <w:r w:rsidR="001074B0" w:rsidRPr="001074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outcomes, with methyldopa being a commonly prescribed antihypertensive for its safety profile</w:t>
      </w:r>
      <w:r w:rsidR="006768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(1)</w:t>
      </w:r>
      <w:r w:rsidR="001074B0" w:rsidRPr="001074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 However, the physiological changes during pregnancy may alter methyldopa's pharmacokinetics and pharmacodynamics, complicating the establishment of optimal dosing regimens. This study aims to develop and validate a pregnancy-specific PBPK</w:t>
      </w:r>
      <w:r w:rsidR="001074B0" w:rsidRPr="001074B0">
        <w:rPr>
          <w:rFonts w:ascii="Arial" w:eastAsia="Calibri" w:hAnsi="Arial" w:cs="Calibri" w:hint="eastAsia"/>
          <w:bCs/>
          <w:kern w:val="0"/>
          <w:sz w:val="20"/>
          <w:szCs w:val="20"/>
          <w14:ligatures w14:val="none"/>
        </w:rPr>
        <w:t>-PK</w:t>
      </w:r>
      <w:r w:rsidR="001074B0" w:rsidRPr="001074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/PD model for methyldopa to optimize dosing strategies and support individualized treatment plans. 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64C2A258" w:rsidR="00C315D2" w:rsidRPr="00C315D2" w:rsidRDefault="00C315D2" w:rsidP="00244DE3">
      <w:pPr>
        <w:spacing w:after="0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1074B0" w:rsidRPr="001074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PBPK</w:t>
      </w:r>
      <w:r w:rsidR="001074B0" w:rsidRPr="001074B0">
        <w:rPr>
          <w:rFonts w:ascii="Arial" w:eastAsia="Calibri" w:hAnsi="Arial" w:cs="Calibri" w:hint="eastAsia"/>
          <w:bCs/>
          <w:kern w:val="0"/>
          <w:sz w:val="20"/>
          <w:szCs w:val="20"/>
          <w14:ligatures w14:val="none"/>
        </w:rPr>
        <w:t>-PK</w:t>
      </w:r>
      <w:r w:rsidR="001074B0" w:rsidRPr="001074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/PD model for methyldopa was developed using PK-Sim, </w:t>
      </w:r>
      <w:proofErr w:type="spellStart"/>
      <w:r w:rsidR="001074B0" w:rsidRPr="001074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MoBi</w:t>
      </w:r>
      <w:proofErr w:type="spellEnd"/>
      <w:r w:rsidR="001074B0" w:rsidRPr="001074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and MATLAB software, incorporating pregnancy-specific physiological parameters from the literature. The development process involved: first, constructing and validating a PBPK model for non-pregnant individuals based on intravenous and oral administration, including renal clearance, serum clearance, and enzyme clearance; second, extending the model to a pregnant PBPK model and validating it for oral administration; third, constructing a PK/PD model using the maximum effect model; and </w:t>
      </w:r>
      <w:r w:rsidR="001074B0" w:rsidRPr="001074B0">
        <w:rPr>
          <w:rFonts w:ascii="Arial" w:eastAsia="Calibri" w:hAnsi="Arial" w:cs="Calibri" w:hint="eastAsia"/>
          <w:bCs/>
          <w:kern w:val="0"/>
          <w:sz w:val="20"/>
          <w:szCs w:val="20"/>
          <w14:ligatures w14:val="none"/>
        </w:rPr>
        <w:t>then</w:t>
      </w:r>
      <w:r w:rsidR="001074B0" w:rsidRPr="001074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integrating the PBPK and PK/PD models to form a unified PBPK</w:t>
      </w:r>
      <w:r w:rsidR="001074B0" w:rsidRPr="001074B0">
        <w:rPr>
          <w:rFonts w:ascii="Arial" w:eastAsia="Calibri" w:hAnsi="Arial" w:cs="Calibri" w:hint="eastAsia"/>
          <w:bCs/>
          <w:kern w:val="0"/>
          <w:sz w:val="20"/>
          <w:szCs w:val="20"/>
          <w14:ligatures w14:val="none"/>
        </w:rPr>
        <w:t>-PK</w:t>
      </w:r>
      <w:r w:rsidR="001074B0" w:rsidRPr="001074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/PD model. This model was then used to simulate </w:t>
      </w:r>
      <w:r w:rsidR="001074B0" w:rsidRPr="001074B0">
        <w:rPr>
          <w:rFonts w:ascii="Arial" w:eastAsia="Calibri" w:hAnsi="Arial" w:cs="Calibri" w:hint="eastAsia"/>
          <w:bCs/>
          <w:kern w:val="0"/>
          <w:sz w:val="20"/>
          <w:szCs w:val="20"/>
          <w14:ligatures w14:val="none"/>
        </w:rPr>
        <w:t>m</w:t>
      </w:r>
      <w:r w:rsidR="001074B0" w:rsidRPr="001074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ean </w:t>
      </w:r>
      <w:r w:rsidR="001074B0" w:rsidRPr="001074B0">
        <w:rPr>
          <w:rFonts w:ascii="Arial" w:eastAsia="Calibri" w:hAnsi="Arial" w:cs="Calibri" w:hint="eastAsia"/>
          <w:bCs/>
          <w:kern w:val="0"/>
          <w:sz w:val="20"/>
          <w:szCs w:val="20"/>
          <w14:ligatures w14:val="none"/>
        </w:rPr>
        <w:t>a</w:t>
      </w:r>
      <w:r w:rsidR="001074B0" w:rsidRPr="001074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rterial </w:t>
      </w:r>
      <w:r w:rsidR="001074B0" w:rsidRPr="001074B0">
        <w:rPr>
          <w:rFonts w:ascii="Arial" w:eastAsia="Calibri" w:hAnsi="Arial" w:cs="Calibri" w:hint="eastAsia"/>
          <w:bCs/>
          <w:kern w:val="0"/>
          <w:sz w:val="20"/>
          <w:szCs w:val="20"/>
          <w14:ligatures w14:val="none"/>
        </w:rPr>
        <w:t>p</w:t>
      </w:r>
      <w:r w:rsidR="001074B0" w:rsidRPr="001074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ressure</w:t>
      </w:r>
      <w:r w:rsidR="001074B0" w:rsidRPr="001074B0">
        <w:rPr>
          <w:rFonts w:ascii="Arial" w:eastAsia="Calibri" w:hAnsi="Arial" w:cs="Calibri" w:hint="eastAsia"/>
          <w:bCs/>
          <w:kern w:val="0"/>
          <w:sz w:val="20"/>
          <w:szCs w:val="20"/>
          <w14:ligatures w14:val="none"/>
        </w:rPr>
        <w:t xml:space="preserve"> (MAP)</w:t>
      </w:r>
      <w:r w:rsidR="001074B0" w:rsidRPr="001074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responses across different stages of pregnancy. Finally, the optimal dosing regimen was calculated.</w:t>
      </w:r>
    </w:p>
    <w:p w14:paraId="1387B9C3" w14:textId="77777777" w:rsidR="00C315D2" w:rsidRPr="00244DE3" w:rsidRDefault="00C315D2" w:rsidP="00244DE3">
      <w:pPr>
        <w:spacing w:after="0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45839236" w14:textId="63089E12" w:rsidR="001074B0" w:rsidRDefault="00795378" w:rsidP="00244DE3">
      <w:pPr>
        <w:spacing w:after="0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1074B0" w:rsidRPr="001074B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The model </w:t>
      </w:r>
      <w:r w:rsidR="001074B0" w:rsidRPr="001074B0">
        <w:rPr>
          <w:rFonts w:ascii="Arial" w:eastAsia="Calibri" w:hAnsi="Arial" w:cs="Calibri" w:hint="eastAsia"/>
          <w:kern w:val="0"/>
          <w:sz w:val="20"/>
          <w:szCs w:val="20"/>
          <w:lang w:val="en-US"/>
          <w14:ligatures w14:val="none"/>
        </w:rPr>
        <w:t>verification</w:t>
      </w:r>
      <w:r w:rsidR="001074B0" w:rsidRPr="001074B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results show a good fit, indicating that the parameters are appropriate.</w:t>
      </w:r>
      <w:r w:rsidR="001074B0" w:rsidRPr="001074B0">
        <w:rPr>
          <w:rFonts w:ascii="Arial" w:eastAsia="Calibri" w:hAnsi="Arial" w:cs="Calibri" w:hint="eastAsia"/>
          <w:kern w:val="0"/>
          <w:sz w:val="20"/>
          <w:szCs w:val="20"/>
          <w:lang w:val="en-US"/>
          <w14:ligatures w14:val="none"/>
        </w:rPr>
        <w:t xml:space="preserve"> T</w:t>
      </w:r>
      <w:r w:rsidR="001074B0" w:rsidRPr="001074B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he pregnancy model indicated no significant change in PST activity during pregnancy. The PBPK</w:t>
      </w:r>
      <w:r w:rsidR="001074B0" w:rsidRPr="001074B0">
        <w:rPr>
          <w:rFonts w:ascii="Arial" w:eastAsia="Calibri" w:hAnsi="Arial" w:cs="Calibri" w:hint="eastAsia"/>
          <w:kern w:val="0"/>
          <w:sz w:val="20"/>
          <w:szCs w:val="20"/>
          <w:lang w:val="en-US"/>
          <w14:ligatures w14:val="none"/>
        </w:rPr>
        <w:t>-PK</w:t>
      </w:r>
      <w:r w:rsidR="001074B0" w:rsidRPr="001074B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/PD simulations across different stages of pregnancy show fluctuations in both PK and PD</w:t>
      </w:r>
      <w:r w:rsidR="00CD13E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CD13E9" w:rsidRPr="2021B9E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(see Figure 1)</w:t>
      </w:r>
      <w:r w:rsidR="001074B0" w:rsidRPr="001074B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. Ultimately, the results indicate that 500 mg is the optimal dosing regimen for patients with MAP ≤ 130 mmHg. For MAP &gt; 130 mmHg, additional antihypertensive medications are recommended</w:t>
      </w:r>
      <w:r w:rsidR="00CD13E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CD13E9" w:rsidRPr="2021B9E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(see Table 1)</w:t>
      </w:r>
      <w:r w:rsidR="001074B0" w:rsidRPr="001074B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. </w:t>
      </w:r>
    </w:p>
    <w:p w14:paraId="647682CE" w14:textId="51731EEF" w:rsidR="00244DE3" w:rsidRPr="001074B0" w:rsidRDefault="00244DE3" w:rsidP="00182D13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5178CA51" wp14:editId="4686AA92">
            <wp:simplePos x="0" y="0"/>
            <wp:positionH relativeFrom="column">
              <wp:posOffset>0</wp:posOffset>
            </wp:positionH>
            <wp:positionV relativeFrom="paragraph">
              <wp:posOffset>112395</wp:posOffset>
            </wp:positionV>
            <wp:extent cx="3251083" cy="1391479"/>
            <wp:effectExtent l="0" t="0" r="635" b="5715"/>
            <wp:wrapNone/>
            <wp:docPr id="10231443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144321" name="图片 102314432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28"/>
                    <a:stretch/>
                  </pic:blipFill>
                  <pic:spPr bwMode="auto">
                    <a:xfrm>
                      <a:off x="0" y="0"/>
                      <a:ext cx="3251083" cy="1391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right" w:tblpYSpec="insid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1276"/>
        <w:gridCol w:w="1276"/>
      </w:tblGrid>
      <w:tr w:rsidR="00244DE3" w:rsidRPr="00C315D2" w14:paraId="746D3425" w14:textId="77777777" w:rsidTr="00244DE3">
        <w:trPr>
          <w:trHeight w:val="821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DB1C89" w14:textId="77777777" w:rsidR="00244DE3" w:rsidRPr="00E73723" w:rsidRDefault="00244DE3" w:rsidP="00244D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E73723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Dosing Regimen</w:t>
            </w:r>
          </w:p>
          <w:p w14:paraId="30E2915B" w14:textId="77777777" w:rsidR="00244DE3" w:rsidRPr="00E73723" w:rsidRDefault="00244DE3" w:rsidP="00244D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E73723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(mg)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EF24E0" w14:textId="77777777" w:rsidR="00244DE3" w:rsidRPr="00E73723" w:rsidRDefault="00244DE3" w:rsidP="00244DE3">
            <w:pPr>
              <w:spacing w:after="0" w:line="240" w:lineRule="auto"/>
              <w:ind w:firstLineChars="50" w:firstLine="10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7372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MAP Reduction</w:t>
            </w:r>
          </w:p>
          <w:p w14:paraId="376696E4" w14:textId="77777777" w:rsidR="00244DE3" w:rsidRPr="00E73723" w:rsidRDefault="00244DE3" w:rsidP="00244D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E7372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(mmHg)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B789DB" w14:textId="77777777" w:rsidR="00244DE3" w:rsidRDefault="00244DE3" w:rsidP="00244DE3">
            <w:pPr>
              <w:spacing w:after="0" w:line="240" w:lineRule="auto"/>
              <w:ind w:firstLineChars="50" w:firstLine="10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E7372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  <w:t>F</w:t>
            </w:r>
            <w:r w:rsidRPr="00E73723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  <w:lang w:eastAsia="zh-CN"/>
              </w:rPr>
              <w:t>or</w:t>
            </w:r>
            <w:r w:rsidRPr="00E7372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  <w:p w14:paraId="1D309F61" w14:textId="77777777" w:rsidR="00244DE3" w:rsidRPr="00E73723" w:rsidRDefault="00244DE3" w:rsidP="00244DE3">
            <w:pPr>
              <w:spacing w:after="0" w:line="240" w:lineRule="auto"/>
              <w:ind w:firstLineChars="50" w:firstLine="10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7372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MAP</w:t>
            </w:r>
          </w:p>
          <w:p w14:paraId="6D5F19C9" w14:textId="77777777" w:rsidR="00244DE3" w:rsidRPr="00E73723" w:rsidRDefault="00244DE3" w:rsidP="00244DE3">
            <w:pPr>
              <w:spacing w:after="0" w:line="240" w:lineRule="auto"/>
              <w:ind w:firstLineChars="100" w:firstLine="204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E7372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(mmHg)</w:t>
            </w:r>
          </w:p>
        </w:tc>
      </w:tr>
      <w:tr w:rsidR="00244DE3" w:rsidRPr="00C315D2" w14:paraId="075D132A" w14:textId="77777777" w:rsidTr="00244DE3">
        <w:trPr>
          <w:trHeight w:val="341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7660A9" w14:textId="77777777" w:rsidR="00244DE3" w:rsidRPr="00E73723" w:rsidRDefault="00244DE3" w:rsidP="00244DE3">
            <w:pPr>
              <w:spacing w:after="0" w:line="240" w:lineRule="auto"/>
              <w:ind w:firstLineChars="150" w:firstLine="306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E7372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6F88F" w14:textId="77777777" w:rsidR="00244DE3" w:rsidRPr="00E73723" w:rsidRDefault="00244DE3" w:rsidP="00244DE3">
            <w:pPr>
              <w:spacing w:after="0" w:line="240" w:lineRule="auto"/>
              <w:ind w:firstLineChars="200" w:firstLine="408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E7372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5A2C29" w14:textId="77777777" w:rsidR="00244DE3" w:rsidRPr="00E73723" w:rsidRDefault="00244DE3" w:rsidP="00244DE3">
            <w:pPr>
              <w:spacing w:after="0" w:line="240" w:lineRule="auto"/>
              <w:ind w:firstLineChars="100" w:firstLine="204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E7372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105-122</w:t>
            </w:r>
          </w:p>
        </w:tc>
      </w:tr>
      <w:tr w:rsidR="00244DE3" w:rsidRPr="00C315D2" w14:paraId="55BD38C0" w14:textId="77777777" w:rsidTr="00244DE3">
        <w:trPr>
          <w:trHeight w:val="341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B4E5E3" w14:textId="4788F1F9" w:rsidR="00244DE3" w:rsidRPr="00E73723" w:rsidRDefault="00244DE3" w:rsidP="00244DE3">
            <w:pPr>
              <w:spacing w:after="0" w:line="240" w:lineRule="auto"/>
              <w:ind w:firstLineChars="150" w:firstLine="306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E7372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E3EEB5" w14:textId="77777777" w:rsidR="00244DE3" w:rsidRPr="00E73723" w:rsidRDefault="00244DE3" w:rsidP="00244DE3">
            <w:pPr>
              <w:spacing w:after="0" w:line="240" w:lineRule="auto"/>
              <w:ind w:firstLineChars="200" w:firstLine="408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E7372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498D44" w14:textId="77777777" w:rsidR="00244DE3" w:rsidRPr="00E73723" w:rsidRDefault="00244DE3" w:rsidP="00244DE3">
            <w:pPr>
              <w:spacing w:after="0" w:line="240" w:lineRule="auto"/>
              <w:ind w:firstLineChars="100" w:firstLine="204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E7372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122-130</w:t>
            </w:r>
          </w:p>
        </w:tc>
      </w:tr>
      <w:tr w:rsidR="00244DE3" w:rsidRPr="00C315D2" w14:paraId="4A6C3B0B" w14:textId="77777777" w:rsidTr="00244DE3">
        <w:trPr>
          <w:trHeight w:val="341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70FCA" w14:textId="77777777" w:rsidR="00244DE3" w:rsidRPr="00E73723" w:rsidRDefault="00244DE3" w:rsidP="00244DE3">
            <w:pPr>
              <w:spacing w:after="0" w:line="240" w:lineRule="auto"/>
              <w:ind w:firstLineChars="150" w:firstLine="306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E7372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65A3C1" w14:textId="77777777" w:rsidR="00244DE3" w:rsidRPr="00E73723" w:rsidRDefault="00244DE3" w:rsidP="00244DE3">
            <w:pPr>
              <w:spacing w:after="0" w:line="240" w:lineRule="auto"/>
              <w:ind w:firstLineChars="200" w:firstLine="408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E7372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48081E" w14:textId="77777777" w:rsidR="00244DE3" w:rsidRPr="00E73723" w:rsidRDefault="00244DE3" w:rsidP="00244DE3">
            <w:pPr>
              <w:spacing w:after="0" w:line="240" w:lineRule="auto"/>
              <w:ind w:firstLineChars="100" w:firstLine="204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E7372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130-132</w:t>
            </w:r>
          </w:p>
        </w:tc>
      </w:tr>
    </w:tbl>
    <w:p w14:paraId="777A9E0F" w14:textId="7BB45D7B" w:rsidR="2021B9E9" w:rsidRDefault="2021B9E9" w:rsidP="2021B9E9">
      <w:pPr>
        <w:spacing w:after="0" w:line="240" w:lineRule="auto"/>
        <w:jc w:val="both"/>
        <w:rPr>
          <w:rFonts w:ascii="Arial" w:eastAsia="Calibri" w:hAnsi="Arial" w:cs="Calibri"/>
          <w:sz w:val="20"/>
          <w:szCs w:val="20"/>
          <w:lang w:val="en-US"/>
        </w:rPr>
      </w:pPr>
    </w:p>
    <w:p w14:paraId="5D65706F" w14:textId="344EF282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7A6A1625" w14:textId="511A4875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3BEFE7AB" w14:textId="77777777" w:rsidR="00244DE3" w:rsidRDefault="00244DE3" w:rsidP="00E73723">
      <w:pPr>
        <w:jc w:val="center"/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</w:pPr>
    </w:p>
    <w:p w14:paraId="349E7C51" w14:textId="77777777" w:rsidR="00244DE3" w:rsidRDefault="00244DE3" w:rsidP="00E73723">
      <w:pPr>
        <w:jc w:val="center"/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</w:pPr>
    </w:p>
    <w:p w14:paraId="7B4A6EB0" w14:textId="77777777" w:rsidR="00244DE3" w:rsidRDefault="00244DE3" w:rsidP="00E73723">
      <w:pPr>
        <w:jc w:val="center"/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</w:pPr>
    </w:p>
    <w:p w14:paraId="630D2783" w14:textId="77777777" w:rsidR="00244DE3" w:rsidRDefault="00244DE3" w:rsidP="00E73723">
      <w:pPr>
        <w:jc w:val="center"/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</w:pPr>
    </w:p>
    <w:p w14:paraId="37683296" w14:textId="20BCF29B" w:rsidR="00C315D2" w:rsidRPr="00E73723" w:rsidRDefault="00C315D2" w:rsidP="006768F5">
      <w:pPr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Figure 1. </w:t>
      </w:r>
      <w:r w:rsidR="00CD13E9" w:rsidRPr="00CD13E9">
        <w:rPr>
          <w:rFonts w:ascii="Arial" w:eastAsia="Calibri" w:hAnsi="Arial" w:cs="Calibri" w:hint="eastAsia"/>
          <w:kern w:val="0"/>
          <w:sz w:val="20"/>
          <w:szCs w:val="20"/>
          <w:lang w:val="en-GB"/>
          <w14:ligatures w14:val="none"/>
        </w:rPr>
        <w:t>PBPK-PK/PD predictions for pregnant women. a. PBPK predictions: The y-axis represents the peak steady-state plasma concentration after multiple doses. b. PBPK-PK/PD predictions: The y-axis represents the steady-state MAP reduction effect after multiple doses.</w:t>
      </w:r>
      <w:r w:rsidR="006768F5">
        <w:rPr>
          <w:rFonts w:ascii="Arial" w:eastAsia="Calibri" w:hAnsi="Arial" w:cs="Calibri" w:hint="eastAsia"/>
          <w:kern w:val="0"/>
          <w:sz w:val="20"/>
          <w:szCs w:val="20"/>
          <w:lang w:val="en-GB"/>
          <w14:ligatures w14:val="none"/>
        </w:rPr>
        <w:t xml:space="preserve"> </w:t>
      </w: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Table 1. </w:t>
      </w:r>
      <w:r w:rsidR="00E73723" w:rsidRPr="00E73723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Precision </w:t>
      </w:r>
      <w:r w:rsidR="00244DE3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d</w:t>
      </w:r>
      <w:r w:rsidR="00E73723" w:rsidRPr="00E73723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osing </w:t>
      </w:r>
      <w:r w:rsidR="00244DE3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c</w:t>
      </w:r>
      <w:r w:rsidR="00E73723" w:rsidRPr="00E73723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alculation</w:t>
      </w:r>
      <w:r w:rsidR="00244DE3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.</w:t>
      </w:r>
    </w:p>
    <w:p w14:paraId="1AF10CAD" w14:textId="6A19AFD9" w:rsidR="00C315D2" w:rsidRPr="00244DE3" w:rsidRDefault="00B8473A" w:rsidP="00244DE3">
      <w:pPr>
        <w:rPr>
          <w:rFonts w:cs="Times New Roman"/>
          <w:szCs w:val="21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182D13" w:rsidRPr="00182D13">
        <w:rPr>
          <w:rFonts w:ascii="Arial" w:hAnsi="Arial" w:cs="Arial"/>
          <w:color w:val="000000" w:themeColor="text1"/>
          <w:sz w:val="20"/>
          <w:szCs w:val="20"/>
        </w:rPr>
        <w:t>The PBPK-PK/PD model</w:t>
      </w:r>
      <w:r w:rsidR="00182D13" w:rsidRPr="00182D13">
        <w:rPr>
          <w:rFonts w:ascii="Arial" w:hAnsi="Arial" w:cs="Arial"/>
          <w:sz w:val="20"/>
          <w:szCs w:val="20"/>
        </w:rPr>
        <w:t xml:space="preserve"> developed in this study provides a valuable tool for optimizing methyldopa therapy, supporting personalized treatment strategies, and improving blood pressure management and maternal and </w:t>
      </w:r>
      <w:proofErr w:type="spellStart"/>
      <w:r w:rsidR="00182D13" w:rsidRPr="00182D13">
        <w:rPr>
          <w:rFonts w:ascii="Arial" w:hAnsi="Arial" w:cs="Arial"/>
          <w:sz w:val="20"/>
          <w:szCs w:val="20"/>
        </w:rPr>
        <w:t>fetal</w:t>
      </w:r>
      <w:proofErr w:type="spellEnd"/>
      <w:r w:rsidR="00182D13" w:rsidRPr="00182D13">
        <w:rPr>
          <w:rFonts w:ascii="Arial" w:hAnsi="Arial" w:cs="Arial"/>
          <w:sz w:val="20"/>
          <w:szCs w:val="20"/>
        </w:rPr>
        <w:t xml:space="preserve"> health outcomes in pregnancy-induced hypertension.</w:t>
      </w:r>
    </w:p>
    <w:p w14:paraId="2C801966" w14:textId="7F1EB4EA" w:rsidR="00182D13" w:rsidRPr="00182D13" w:rsidRDefault="00C315D2" w:rsidP="00244DE3">
      <w:pPr>
        <w:spacing w:after="0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7D6E388F" w14:textId="1B4EFDE9" w:rsidR="00113BB7" w:rsidRPr="009B1CBB" w:rsidRDefault="00182D13" w:rsidP="00244DE3">
      <w:pPr>
        <w:spacing w:after="0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182D1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</w:t>
      </w:r>
      <w:r w:rsidR="006768F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1</w:t>
      </w:r>
      <w:r w:rsidRPr="00182D1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) </w:t>
      </w:r>
      <w:proofErr w:type="spellStart"/>
      <w:r w:rsidRPr="00182D13">
        <w:rPr>
          <w:rFonts w:ascii="Arial" w:eastAsia="Calibri" w:hAnsi="Arial" w:cs="Calibri" w:hint="eastAsia"/>
          <w:bCs/>
          <w:kern w:val="0"/>
          <w:sz w:val="20"/>
          <w:szCs w:val="20"/>
          <w:lang w:val="en-US"/>
          <w14:ligatures w14:val="none"/>
        </w:rPr>
        <w:t>Khedagi</w:t>
      </w:r>
      <w:proofErr w:type="spellEnd"/>
      <w:r w:rsidRPr="00182D13">
        <w:rPr>
          <w:rFonts w:ascii="Arial" w:eastAsia="Calibri" w:hAnsi="Arial" w:cs="Calibri" w:hint="eastAsia"/>
          <w:bCs/>
          <w:kern w:val="0"/>
          <w:sz w:val="20"/>
          <w:szCs w:val="20"/>
          <w:lang w:val="en-US"/>
          <w14:ligatures w14:val="none"/>
        </w:rPr>
        <w:t xml:space="preserve"> AM, Bello NA. Hypertensive Disorders of Pregnancy. Cardiology Clinics. 39(1), 77</w:t>
      </w:r>
      <w:r w:rsidRPr="00182D13">
        <w:rPr>
          <w:rFonts w:ascii="Arial" w:eastAsia="Calibri" w:hAnsi="Arial" w:cs="Calibri" w:hint="eastAsia"/>
          <w:bCs/>
          <w:kern w:val="0"/>
          <w:sz w:val="20"/>
          <w:szCs w:val="20"/>
          <w:lang w:val="en-US"/>
          <w14:ligatures w14:val="none"/>
        </w:rPr>
        <w:t>–</w:t>
      </w:r>
      <w:r w:rsidRPr="00182D13">
        <w:rPr>
          <w:rFonts w:ascii="Arial" w:eastAsia="Calibri" w:hAnsi="Arial" w:cs="Calibri" w:hint="eastAsia"/>
          <w:bCs/>
          <w:kern w:val="0"/>
          <w:sz w:val="20"/>
          <w:szCs w:val="20"/>
          <w:lang w:val="en-US"/>
          <w14:ligatures w14:val="none"/>
        </w:rPr>
        <w:t>90 (2021).</w:t>
      </w:r>
    </w:p>
    <w:sectPr w:rsidR="00113B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107368"/>
    <w:rsid w:val="001074B0"/>
    <w:rsid w:val="00113BB7"/>
    <w:rsid w:val="00182D13"/>
    <w:rsid w:val="001C2DC1"/>
    <w:rsid w:val="002017E6"/>
    <w:rsid w:val="00244DE3"/>
    <w:rsid w:val="00294059"/>
    <w:rsid w:val="003206E4"/>
    <w:rsid w:val="003A6D5C"/>
    <w:rsid w:val="004A51B6"/>
    <w:rsid w:val="00510CF8"/>
    <w:rsid w:val="00575A29"/>
    <w:rsid w:val="00601754"/>
    <w:rsid w:val="006768F5"/>
    <w:rsid w:val="006A34BE"/>
    <w:rsid w:val="006F3F1C"/>
    <w:rsid w:val="007141F2"/>
    <w:rsid w:val="007561D8"/>
    <w:rsid w:val="00795378"/>
    <w:rsid w:val="00796206"/>
    <w:rsid w:val="007C367E"/>
    <w:rsid w:val="008071C5"/>
    <w:rsid w:val="00906D34"/>
    <w:rsid w:val="00933DC9"/>
    <w:rsid w:val="00936D4C"/>
    <w:rsid w:val="009523F9"/>
    <w:rsid w:val="009650DF"/>
    <w:rsid w:val="009B1CBB"/>
    <w:rsid w:val="00A0516D"/>
    <w:rsid w:val="00B4721D"/>
    <w:rsid w:val="00B8473A"/>
    <w:rsid w:val="00C21815"/>
    <w:rsid w:val="00C315D2"/>
    <w:rsid w:val="00C353D8"/>
    <w:rsid w:val="00CD13E9"/>
    <w:rsid w:val="00CF5A91"/>
    <w:rsid w:val="00D02BB1"/>
    <w:rsid w:val="00D45A74"/>
    <w:rsid w:val="00D7428F"/>
    <w:rsid w:val="00E73723"/>
    <w:rsid w:val="00EC3746"/>
    <w:rsid w:val="00F539FB"/>
    <w:rsid w:val="00F8552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5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e">
    <w:name w:val="Bibliography"/>
    <w:basedOn w:val="a"/>
    <w:next w:val="a"/>
    <w:uiPriority w:val="37"/>
    <w:semiHidden/>
    <w:unhideWhenUsed/>
    <w:rsid w:val="00182D13"/>
    <w:pPr>
      <w:spacing w:after="200" w:line="276" w:lineRule="auto"/>
    </w:pPr>
    <w:rPr>
      <w:rFonts w:ascii="Times New Roman" w:eastAsiaTheme="minorEastAsia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Liu Xinyang</cp:lastModifiedBy>
  <cp:revision>7</cp:revision>
  <dcterms:created xsi:type="dcterms:W3CDTF">2025-03-11T02:17:00Z</dcterms:created>
  <dcterms:modified xsi:type="dcterms:W3CDTF">2025-04-09T12:26:00Z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