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F8A2" w14:textId="5714B237" w:rsidR="00FA5387" w:rsidRDefault="00B76184" w:rsidP="00E61060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H</w:t>
      </w:r>
      <w:r w:rsidR="00A73BA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igh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P</w:t>
      </w:r>
      <w:r w:rsidR="00A73BA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erformance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</w:t>
      </w:r>
      <w:r w:rsidR="00A73BA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hin-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L</w:t>
      </w:r>
      <w:r w:rsidR="00A73BA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ayer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C</w:t>
      </w:r>
      <w:r w:rsidR="004A250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hromatography</w:t>
      </w:r>
      <w:r w:rsidR="008F530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(</w:t>
      </w:r>
      <w:r w:rsidR="00FA5387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HPTLC</w:t>
      </w:r>
      <w:r w:rsidR="008F530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) </w:t>
      </w:r>
      <w:r w:rsidR="00484350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A</w:t>
      </w:r>
      <w:r w:rsidR="000A71CA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s</w:t>
      </w:r>
      <w:r w:rsidR="00E635D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r w:rsidR="000A71CA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 Convenient </w:t>
      </w:r>
      <w:r w:rsidR="00E635D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Analytical Tool </w:t>
      </w:r>
      <w:proofErr w:type="gramStart"/>
      <w:r w:rsidR="00484350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F</w:t>
      </w:r>
      <w:r w:rsidR="0022128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or</w:t>
      </w:r>
      <w:proofErr w:type="gramEnd"/>
      <w:r w:rsidR="0022128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r w:rsidR="00484350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</w:t>
      </w:r>
      <w:r w:rsidR="00496A80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he </w:t>
      </w:r>
      <w:r w:rsidR="0018643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Analy</w:t>
      </w:r>
      <w:r w:rsidR="000A71CA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sis of</w:t>
      </w:r>
      <w:r w:rsidR="0018643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r w:rsidR="007B1B63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Active Pharmaceutical Ingredients</w:t>
      </w:r>
      <w:r w:rsidR="0018643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r w:rsidR="00484350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I</w:t>
      </w:r>
      <w:r w:rsidR="0018643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n Ointments</w:t>
      </w:r>
    </w:p>
    <w:p w14:paraId="79141BD9" w14:textId="15D379B3" w:rsidR="00C315D2" w:rsidRPr="00D903CB" w:rsidRDefault="008C797D" w:rsidP="00E61060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D903CB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K M Yasif K Sikdar</w:t>
      </w:r>
      <w:r w:rsidR="00C315D2" w:rsidRPr="00D903CB">
        <w:rPr>
          <w:rFonts w:ascii="Arial" w:eastAsia="Calibri" w:hAnsi="Arial" w:cs="Arial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D903C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Pr="00D903C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Md K</w:t>
      </w:r>
      <w:r w:rsidR="00DA766D" w:rsidRPr="00D903C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Islam</w:t>
      </w:r>
      <w:r w:rsidR="00C315D2" w:rsidRPr="00D903CB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1</w:t>
      </w:r>
      <w:r w:rsidR="00DA766D" w:rsidRPr="00D903C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="00A90285" w:rsidRPr="00A612F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Lee Y</w:t>
      </w:r>
      <w:r w:rsidR="007B1B6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ong</w:t>
      </w:r>
      <w:r w:rsidR="00A90285" w:rsidRPr="00A612F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Lim</w:t>
      </w:r>
      <w:r w:rsidR="00A90285" w:rsidRPr="00D903CB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1,2</w:t>
      </w:r>
      <w:r w:rsidR="00A90285" w:rsidRPr="00D903C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="007C6EAB" w:rsidRPr="00D903C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Cornelia Locher</w:t>
      </w:r>
      <w:r w:rsidR="007C6EAB" w:rsidRPr="000E40EC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1,</w:t>
      </w:r>
      <w:r w:rsidR="00A90285" w:rsidRPr="00D903CB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2</w:t>
      </w:r>
      <w:r w:rsidR="00A90285" w:rsidRPr="00D903C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</w:p>
    <w:p w14:paraId="137D4547" w14:textId="1B7AA315" w:rsidR="00C315D2" w:rsidRPr="00D903CB" w:rsidRDefault="005622F0" w:rsidP="00E61060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</w:pPr>
      <w:r w:rsidRPr="00D903CB">
        <w:rPr>
          <w:rFonts w:ascii="Arial" w:eastAsia="Calibri" w:hAnsi="Arial" w:cs="Arial"/>
          <w:bCs/>
          <w:iCs/>
          <w:kern w:val="0"/>
          <w:sz w:val="20"/>
          <w:szCs w:val="20"/>
          <w:vertAlign w:val="superscript"/>
          <w14:ligatures w14:val="none"/>
        </w:rPr>
        <w:t>1</w:t>
      </w:r>
      <w:r w:rsidRPr="00D903CB"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  <w:t xml:space="preserve">Division of Pharmacy and Centre for Optimisation of Medicines, The University of Western Australia, Crawley, WA 6009, </w:t>
      </w:r>
      <w:proofErr w:type="gramStart"/>
      <w:r w:rsidRPr="00D903CB"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  <w:t>Australia;</w:t>
      </w:r>
      <w:proofErr w:type="gramEnd"/>
    </w:p>
    <w:p w14:paraId="53535AAE" w14:textId="3BB4225C" w:rsidR="008B439C" w:rsidRPr="00D903CB" w:rsidRDefault="00A90285" w:rsidP="00E61060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</w:pPr>
      <w:r w:rsidRPr="000E40EC">
        <w:rPr>
          <w:rFonts w:ascii="Arial" w:eastAsia="Calibri" w:hAnsi="Arial" w:cs="Arial"/>
          <w:bCs/>
          <w:iCs/>
          <w:kern w:val="0"/>
          <w:sz w:val="20"/>
          <w:szCs w:val="20"/>
          <w:vertAlign w:val="superscript"/>
          <w14:ligatures w14:val="none"/>
        </w:rPr>
        <w:t>2</w:t>
      </w:r>
      <w:r w:rsidR="008B439C" w:rsidRPr="00D903CB"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  <w:t>Institute for Paediatric Perioperative Excellence, The University of Western Australia,</w:t>
      </w:r>
      <w:r w:rsidR="005622F0" w:rsidRPr="00D903CB"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  <w:t xml:space="preserve"> </w:t>
      </w:r>
      <w:r w:rsidR="008B439C" w:rsidRPr="00D903CB">
        <w:rPr>
          <w:rFonts w:ascii="Arial" w:eastAsia="Calibri" w:hAnsi="Arial" w:cs="Arial"/>
          <w:bCs/>
          <w:iCs/>
          <w:kern w:val="0"/>
          <w:sz w:val="20"/>
          <w:szCs w:val="20"/>
          <w14:ligatures w14:val="none"/>
        </w:rPr>
        <w:t>Crawley, WA 6009, Australia.</w:t>
      </w:r>
    </w:p>
    <w:p w14:paraId="2DD37039" w14:textId="3FCA9DB4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2385039D" w14:textId="5870F875" w:rsidR="00C315D2" w:rsidRPr="00212400" w:rsidRDefault="00B8473A" w:rsidP="004E5776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212400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Background and aims</w:t>
      </w:r>
      <w:r w:rsidR="00C315D2" w:rsidRPr="00212400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  <w:r w:rsidR="00C315D2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C23CD7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High-performance thin-layer chromatography (HPTLC) is a widely utilised technique for the qualitative and quantitative analysis of natural products</w:t>
      </w:r>
      <w:r w:rsidR="00047BC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It is also growing in popularity </w:t>
      </w:r>
      <w:r w:rsidR="00C23CD7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in the field of pharmaceutical analysis and quality control as it allows</w:t>
      </w:r>
      <w:r w:rsidR="00BE47F0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047BC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</w:t>
      </w:r>
      <w:r w:rsidR="00C23CD7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parallel analysis of </w:t>
      </w:r>
      <w:proofErr w:type="gramStart"/>
      <w:r w:rsidR="00047BC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 </w:t>
      </w:r>
      <w:r w:rsidR="00944A24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large number of</w:t>
      </w:r>
      <w:proofErr w:type="gramEnd"/>
      <w:r w:rsidR="00944A24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samples</w:t>
      </w:r>
      <w:r w:rsidR="001A7721" w:rsidRPr="001A772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1A772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using minimal solvent input</w:t>
      </w:r>
      <w:r w:rsidR="00941AE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</w:t>
      </w:r>
      <w:r w:rsidR="00C23CD7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often </w:t>
      </w:r>
      <w:r w:rsidR="001A772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even </w:t>
      </w:r>
      <w:r w:rsidR="00C23CD7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without the need for pre-analysis extraction. </w:t>
      </w:r>
      <w:r w:rsidR="00CD0ED0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</w:t>
      </w:r>
      <w:r w:rsidR="00FF4EBD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h</w:t>
      </w:r>
      <w:r w:rsidR="003C5F90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is study </w:t>
      </w:r>
      <w:r w:rsidR="00FF4EBD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aim</w:t>
      </w:r>
      <w:r w:rsidR="003C5F90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s to </w:t>
      </w:r>
      <w:r w:rsidR="00047BC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demonstrate</w:t>
      </w:r>
      <w:r w:rsidR="00047BC6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7B2A72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</w:t>
      </w:r>
      <w:r w:rsidR="00047BC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convenience</w:t>
      </w:r>
      <w:r w:rsidR="007B2A72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of HPTLC </w:t>
      </w:r>
      <w:r w:rsidR="008A42BC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for analysing </w:t>
      </w:r>
      <w:r w:rsidR="00976532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targeted </w:t>
      </w:r>
      <w:r w:rsidR="00BA10C6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molecules in </w:t>
      </w:r>
      <w:r w:rsidR="00D5190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pharmaceutical </w:t>
      </w:r>
      <w:r w:rsidR="00BA10C6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ointments</w:t>
      </w:r>
      <w:r w:rsidR="0004238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="009F6B5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by developing</w:t>
      </w:r>
      <w:r w:rsidR="00D1236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C2175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an</w:t>
      </w:r>
      <w:r w:rsidR="0004238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analysis</w:t>
      </w:r>
      <w:r w:rsidR="00BA10C6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D1236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protocol </w:t>
      </w:r>
      <w:r w:rsidR="00310F69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without </w:t>
      </w:r>
      <w:r w:rsidR="00976532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excipient </w:t>
      </w:r>
      <w:r w:rsidR="00310F69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interference </w:t>
      </w:r>
      <w:r w:rsidR="009F6B5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n</w:t>
      </w:r>
      <w:r w:rsidR="00310F69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or the necessity of a </w:t>
      </w:r>
      <w:r w:rsidR="001A772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prior </w:t>
      </w:r>
      <w:r w:rsidR="00310F69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drug extraction step</w:t>
      </w:r>
      <w:r w:rsidR="001B7632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</w:p>
    <w:p w14:paraId="15D93483" w14:textId="77777777" w:rsidR="00C315D2" w:rsidRPr="00212400" w:rsidRDefault="00C315D2" w:rsidP="004E5776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387B9C3" w14:textId="6675556C" w:rsidR="00C315D2" w:rsidRPr="00212400" w:rsidRDefault="00C315D2" w:rsidP="00C47A69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212400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Methods.</w:t>
      </w:r>
      <w:r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B9021D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HPTLC method</w:t>
      </w:r>
      <w:r w:rsidR="00B4772B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s were </w:t>
      </w:r>
      <w:r w:rsidR="00B9021D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developed and </w:t>
      </w:r>
      <w:r w:rsidR="002D2991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validated according to </w:t>
      </w:r>
      <w:r w:rsidR="00105148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International Council for Harmonisation (ICH) </w:t>
      </w:r>
      <w:r w:rsidR="002D2991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guidelines</w:t>
      </w:r>
      <w:r w:rsidR="00C63DD2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for analysing </w:t>
      </w:r>
      <w:r w:rsidR="00E308DD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nitrofurazone</w:t>
      </w:r>
      <w:r w:rsidR="00E858B8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and tacrolimus</w:t>
      </w:r>
      <w:r w:rsidR="00E308DD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6B2596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ointment</w:t>
      </w:r>
      <w:r w:rsidR="00B4772B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s. </w:t>
      </w:r>
      <w:r w:rsidR="0042322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Both </w:t>
      </w:r>
      <w:r w:rsidR="00576B5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ointments </w:t>
      </w:r>
      <w:r w:rsidR="007205C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were</w:t>
      </w:r>
      <w:r w:rsidR="00576B5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directly dissolved for analysis </w:t>
      </w:r>
      <w:r w:rsidR="000034F4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in </w:t>
      </w:r>
      <w:r w:rsidR="000034F4" w:rsidRPr="00212400">
        <w:rPr>
          <w:rFonts w:ascii="Arial" w:hAnsi="Arial" w:cs="Arial"/>
          <w:sz w:val="20"/>
          <w:szCs w:val="20"/>
        </w:rPr>
        <w:t xml:space="preserve">chloroform-acetone (9:1, </w:t>
      </w:r>
      <w:r w:rsidR="000034F4" w:rsidRPr="00212400">
        <w:rPr>
          <w:rFonts w:ascii="Arial" w:hAnsi="Arial" w:cs="Arial"/>
          <w:i/>
          <w:iCs/>
          <w:sz w:val="20"/>
          <w:szCs w:val="20"/>
        </w:rPr>
        <w:t>v/v</w:t>
      </w:r>
      <w:r w:rsidR="000034F4" w:rsidRPr="00212400">
        <w:rPr>
          <w:rFonts w:ascii="Arial" w:hAnsi="Arial" w:cs="Arial"/>
          <w:sz w:val="20"/>
          <w:szCs w:val="20"/>
        </w:rPr>
        <w:t xml:space="preserve">) and </w:t>
      </w:r>
      <w:r w:rsidR="00E858B8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cyclohexane‒chloroform (2:1, </w:t>
      </w:r>
      <w:r w:rsidR="00C47A69" w:rsidRPr="00212400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v/v</w:t>
      </w:r>
      <w:r w:rsidR="00E858B8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) </w:t>
      </w:r>
      <w:r w:rsidR="00C47A69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respectively without any </w:t>
      </w:r>
      <w:r w:rsidR="000D4F6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pre-</w:t>
      </w:r>
      <w:r w:rsidR="00C47A69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extraction</w:t>
      </w:r>
      <w:r w:rsidR="008A374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step</w:t>
      </w:r>
      <w:r w:rsidR="00C47A69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  <w:r w:rsidR="00576B5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2B7A7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Optimised</w:t>
      </w:r>
      <w:r w:rsidR="00576B5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solvent systems were also used </w:t>
      </w:r>
      <w:r w:rsidR="0068568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in the chromatographic </w:t>
      </w:r>
      <w:r w:rsidR="00F5620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development </w:t>
      </w:r>
      <w:r w:rsidR="0068568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of the drugs</w:t>
      </w:r>
      <w:r w:rsidR="00295DD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which were detected at </w:t>
      </w:r>
      <w:r w:rsidR="00FA463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370</w:t>
      </w:r>
      <w:r w:rsidR="00295DD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and </w:t>
      </w:r>
      <w:r w:rsidR="001615E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366</w:t>
      </w:r>
      <w:r w:rsidR="00295DD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nm respectively.</w:t>
      </w:r>
    </w:p>
    <w:p w14:paraId="69A76764" w14:textId="77777777" w:rsidR="00C47A69" w:rsidRPr="00212400" w:rsidRDefault="00C47A69" w:rsidP="004E5776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40B38DD8" w14:textId="2F985E51" w:rsidR="007F44F8" w:rsidRPr="00995250" w:rsidRDefault="00795378" w:rsidP="007F44F8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1240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</w:t>
      </w:r>
      <w:r w:rsidRPr="0099525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esults.</w:t>
      </w:r>
      <w:r w:rsidR="00C315D2" w:rsidRPr="00995250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E01151" w:rsidRPr="00995250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In their respective mobile phases, n</w:t>
      </w:r>
      <w:r w:rsidR="009578CA" w:rsidRPr="00995250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itrofurazone</w:t>
      </w:r>
      <w:r w:rsidR="008743C1" w:rsidRPr="00995250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can be detected at R</w:t>
      </w:r>
      <w:r w:rsidR="008743C1" w:rsidRPr="00995250">
        <w:rPr>
          <w:rFonts w:ascii="Arial" w:eastAsia="Calibri" w:hAnsi="Arial" w:cs="Arial"/>
          <w:kern w:val="0"/>
          <w:sz w:val="20"/>
          <w:szCs w:val="20"/>
          <w:vertAlign w:val="subscript"/>
          <w:lang w:val="en-US"/>
          <w14:ligatures w14:val="none"/>
        </w:rPr>
        <w:t>F</w:t>
      </w:r>
      <w:r w:rsidR="008743C1" w:rsidRPr="00995250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0.18 </w:t>
      </w:r>
      <w:r w:rsidR="00E01151" w:rsidRPr="00995250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and tacrolimus at R</w:t>
      </w:r>
      <w:r w:rsidR="00E01151" w:rsidRPr="000E40EC">
        <w:rPr>
          <w:rFonts w:ascii="Arial" w:eastAsia="Calibri" w:hAnsi="Arial" w:cs="Arial"/>
          <w:kern w:val="0"/>
          <w:sz w:val="20"/>
          <w:szCs w:val="20"/>
          <w:vertAlign w:val="subscript"/>
          <w:lang w:val="en-US"/>
          <w14:ligatures w14:val="none"/>
        </w:rPr>
        <w:t>F</w:t>
      </w:r>
      <w:r w:rsidR="00E01151" w:rsidRPr="00995250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="009C2F9D" w:rsidRPr="00995250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0.20 </w:t>
      </w:r>
      <w:r w:rsidR="008743C1" w:rsidRPr="00995250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without any interference of other ointment components </w:t>
      </w:r>
      <w:r w:rsidR="00C315D2" w:rsidRPr="00995250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(Figure 1</w:t>
      </w:r>
      <w:r w:rsidR="004D3988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a</w:t>
      </w:r>
      <w:r w:rsidR="00E61060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, Figure </w:t>
      </w:r>
      <w:r w:rsidR="004D3988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1b</w:t>
      </w:r>
      <w:r w:rsidR="00723AE5" w:rsidRPr="00995250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)</w:t>
      </w:r>
      <w:r w:rsidR="009578CA" w:rsidRPr="00995250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.</w:t>
      </w:r>
      <w:r w:rsidR="00127D53" w:rsidRPr="00995250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="0084119A" w:rsidRPr="00995250">
        <w:rPr>
          <w:rFonts w:ascii="Arial" w:eastAsia="Calibri" w:hAnsi="Arial" w:cs="Arial"/>
          <w:kern w:val="0"/>
          <w:sz w:val="20"/>
          <w:szCs w:val="20"/>
          <w14:ligatures w14:val="none"/>
        </w:rPr>
        <w:t>Precision, accuracy, robustness and repeatability of the developed methods were all within acceptable limits as per ICH guidelines</w:t>
      </w:r>
      <w:r w:rsidR="007E7750" w:rsidRPr="0099525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with </w:t>
      </w:r>
      <w:r w:rsidR="003935B1" w:rsidRPr="003935B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 detection and quantification limit </w:t>
      </w:r>
      <w:r w:rsidR="005670DE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were </w:t>
      </w:r>
      <w:r w:rsidR="003935B1" w:rsidRPr="003935B1">
        <w:rPr>
          <w:rFonts w:ascii="Arial" w:eastAsia="Calibri" w:hAnsi="Arial" w:cs="Arial"/>
          <w:kern w:val="0"/>
          <w:sz w:val="20"/>
          <w:szCs w:val="20"/>
          <w14:ligatures w14:val="none"/>
        </w:rPr>
        <w:t>10.39 and 31.49 ng/band for nitrofurazone as well as 5.68 and 17.20 ng/band for tacrolimus respective</w:t>
      </w:r>
      <w:r w:rsidR="0084119A" w:rsidRPr="0099525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</w:p>
    <w:p w14:paraId="5F561D58" w14:textId="01B2218B" w:rsidR="007853EF" w:rsidRPr="00212400" w:rsidRDefault="003B56F9" w:rsidP="00C34A78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</w:t>
      </w:r>
      <w:r w:rsidR="007853EF" w:rsidRPr="00212400">
        <w:rPr>
          <w:rFonts w:ascii="Arial" w:hAnsi="Arial" w:cs="Arial"/>
          <w:noProof/>
        </w:rPr>
        <w:drawing>
          <wp:inline distT="0" distB="0" distL="0" distR="0" wp14:anchorId="01E0AC46" wp14:editId="2B715C41">
            <wp:extent cx="2190750" cy="1409700"/>
            <wp:effectExtent l="0" t="0" r="0" b="0"/>
            <wp:docPr id="208522968" name="Picture 1" descr="A graph of 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22968" name="Picture 1" descr="A graph of a graph of a graph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4A7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</w:t>
      </w:r>
      <w:r w:rsidR="00C34A78">
        <w:rPr>
          <w:noProof/>
        </w:rPr>
        <w:drawing>
          <wp:inline distT="0" distB="0" distL="0" distR="0" wp14:anchorId="18ED732F" wp14:editId="2DA3988E">
            <wp:extent cx="2411730" cy="1422047"/>
            <wp:effectExtent l="0" t="0" r="7620" b="6985"/>
            <wp:docPr id="1153755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75555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1226" cy="142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F03ED" w14:textId="5F79802A" w:rsidR="004D3988" w:rsidRPr="004D3988" w:rsidRDefault="004D3988" w:rsidP="004D3988">
      <w:pPr>
        <w:rPr>
          <w:rFonts w:ascii="Arial" w:hAnsi="Arial" w:cs="Arial"/>
          <w:sz w:val="20"/>
          <w:szCs w:val="20"/>
        </w:rPr>
      </w:pPr>
      <w:r w:rsidRPr="004D3988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Pr="004D3988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4D3988">
        <w:rPr>
          <w:rFonts w:ascii="Arial" w:hAnsi="Arial" w:cs="Arial"/>
          <w:sz w:val="20"/>
          <w:szCs w:val="20"/>
        </w:rPr>
        <w:t xml:space="preserve">(a)                                                                                 </w:t>
      </w:r>
      <w:proofErr w:type="gramStart"/>
      <w:r w:rsidRPr="004D3988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4D3988">
        <w:rPr>
          <w:rFonts w:ascii="Arial" w:hAnsi="Arial" w:cs="Arial"/>
          <w:sz w:val="20"/>
          <w:szCs w:val="20"/>
        </w:rPr>
        <w:t>b)</w:t>
      </w:r>
    </w:p>
    <w:p w14:paraId="589930A5" w14:textId="03670A9E" w:rsidR="00FF17AA" w:rsidRPr="00212400" w:rsidRDefault="00FF17AA" w:rsidP="00E42970">
      <w:pPr>
        <w:jc w:val="center"/>
        <w:rPr>
          <w:rFonts w:ascii="Arial" w:hAnsi="Arial" w:cs="Arial"/>
          <w:sz w:val="20"/>
          <w:szCs w:val="20"/>
        </w:rPr>
      </w:pPr>
      <w:r w:rsidRPr="00212400">
        <w:rPr>
          <w:rFonts w:ascii="Arial" w:hAnsi="Arial" w:cs="Arial"/>
          <w:b/>
          <w:bCs/>
          <w:sz w:val="20"/>
          <w:szCs w:val="20"/>
        </w:rPr>
        <w:t>Figure 1.</w:t>
      </w:r>
      <w:r w:rsidRPr="00212400">
        <w:rPr>
          <w:rFonts w:ascii="Arial" w:hAnsi="Arial" w:cs="Arial"/>
          <w:sz w:val="20"/>
          <w:szCs w:val="20"/>
        </w:rPr>
        <w:t xml:space="preserve"> </w:t>
      </w:r>
      <w:r w:rsidR="002B7A7A">
        <w:rPr>
          <w:rFonts w:ascii="Arial" w:hAnsi="Arial" w:cs="Arial"/>
          <w:sz w:val="20"/>
          <w:szCs w:val="20"/>
        </w:rPr>
        <w:t xml:space="preserve">(a) </w:t>
      </w:r>
      <w:r w:rsidRPr="00212400">
        <w:rPr>
          <w:rFonts w:ascii="Arial" w:hAnsi="Arial" w:cs="Arial"/>
          <w:sz w:val="20"/>
          <w:szCs w:val="20"/>
        </w:rPr>
        <w:t>HPTLC chromatogram</w:t>
      </w:r>
      <w:r w:rsidR="009C2F9D">
        <w:rPr>
          <w:rFonts w:ascii="Arial" w:hAnsi="Arial" w:cs="Arial"/>
          <w:sz w:val="20"/>
          <w:szCs w:val="20"/>
        </w:rPr>
        <w:t>s</w:t>
      </w:r>
      <w:r w:rsidR="00295DD2">
        <w:rPr>
          <w:rFonts w:ascii="Arial" w:hAnsi="Arial" w:cs="Arial"/>
          <w:sz w:val="20"/>
          <w:szCs w:val="20"/>
        </w:rPr>
        <w:t>:</w:t>
      </w:r>
      <w:r w:rsidR="00CE226C">
        <w:rPr>
          <w:rFonts w:ascii="Arial" w:hAnsi="Arial" w:cs="Arial"/>
          <w:sz w:val="20"/>
          <w:szCs w:val="20"/>
        </w:rPr>
        <w:t xml:space="preserve"> </w:t>
      </w:r>
      <w:r w:rsidRPr="00212400">
        <w:rPr>
          <w:rFonts w:ascii="Arial" w:hAnsi="Arial" w:cs="Arial"/>
          <w:sz w:val="20"/>
          <w:szCs w:val="20"/>
        </w:rPr>
        <w:t>Track 1</w:t>
      </w:r>
      <w:r w:rsidR="001F60BF">
        <w:rPr>
          <w:rFonts w:ascii="Arial" w:hAnsi="Arial" w:cs="Arial"/>
          <w:sz w:val="20"/>
          <w:szCs w:val="20"/>
        </w:rPr>
        <w:t>, 2</w:t>
      </w:r>
      <w:r w:rsidRPr="00212400">
        <w:rPr>
          <w:rFonts w:ascii="Arial" w:hAnsi="Arial" w:cs="Arial"/>
          <w:sz w:val="20"/>
          <w:szCs w:val="20"/>
        </w:rPr>
        <w:t>: Nitrofurazone; Track</w:t>
      </w:r>
      <w:r w:rsidR="009C2F9D">
        <w:rPr>
          <w:rFonts w:ascii="Arial" w:hAnsi="Arial" w:cs="Arial"/>
          <w:sz w:val="20"/>
          <w:szCs w:val="20"/>
        </w:rPr>
        <w:t xml:space="preserve"> </w:t>
      </w:r>
      <w:r w:rsidR="001F60BF">
        <w:rPr>
          <w:rFonts w:ascii="Arial" w:hAnsi="Arial" w:cs="Arial"/>
          <w:sz w:val="20"/>
          <w:szCs w:val="20"/>
        </w:rPr>
        <w:t>3,4</w:t>
      </w:r>
      <w:r w:rsidRPr="00212400">
        <w:rPr>
          <w:rFonts w:ascii="Arial" w:hAnsi="Arial" w:cs="Arial"/>
          <w:sz w:val="20"/>
          <w:szCs w:val="20"/>
        </w:rPr>
        <w:t xml:space="preserve">: </w:t>
      </w:r>
      <w:r w:rsidR="00E81789">
        <w:rPr>
          <w:rFonts w:ascii="Arial" w:hAnsi="Arial" w:cs="Arial"/>
          <w:sz w:val="20"/>
          <w:szCs w:val="20"/>
        </w:rPr>
        <w:t>Blank s</w:t>
      </w:r>
      <w:r w:rsidRPr="00212400">
        <w:rPr>
          <w:rFonts w:ascii="Arial" w:hAnsi="Arial" w:cs="Arial"/>
          <w:sz w:val="20"/>
          <w:szCs w:val="20"/>
        </w:rPr>
        <w:t xml:space="preserve">imple ointment; Track </w:t>
      </w:r>
      <w:r w:rsidR="00464D30">
        <w:rPr>
          <w:rFonts w:ascii="Arial" w:hAnsi="Arial" w:cs="Arial"/>
          <w:sz w:val="20"/>
          <w:szCs w:val="20"/>
        </w:rPr>
        <w:t>5,6</w:t>
      </w:r>
      <w:r w:rsidRPr="00212400">
        <w:rPr>
          <w:rFonts w:ascii="Arial" w:hAnsi="Arial" w:cs="Arial"/>
          <w:sz w:val="20"/>
          <w:szCs w:val="20"/>
        </w:rPr>
        <w:t xml:space="preserve">: </w:t>
      </w:r>
      <w:r w:rsidR="0005606C" w:rsidRPr="00212400">
        <w:rPr>
          <w:rFonts w:ascii="Arial" w:hAnsi="Arial" w:cs="Arial"/>
          <w:sz w:val="20"/>
          <w:szCs w:val="20"/>
        </w:rPr>
        <w:t>N</w:t>
      </w:r>
      <w:r w:rsidRPr="00212400">
        <w:rPr>
          <w:rFonts w:ascii="Arial" w:hAnsi="Arial" w:cs="Arial"/>
          <w:sz w:val="20"/>
          <w:szCs w:val="20"/>
        </w:rPr>
        <w:t>itrofurazone ointment</w:t>
      </w:r>
      <w:r w:rsidR="009C2F9D">
        <w:rPr>
          <w:rFonts w:ascii="Arial" w:hAnsi="Arial" w:cs="Arial"/>
          <w:sz w:val="20"/>
          <w:szCs w:val="20"/>
        </w:rPr>
        <w:t xml:space="preserve">; </w:t>
      </w:r>
      <w:r w:rsidR="00464D30">
        <w:rPr>
          <w:rFonts w:ascii="Arial" w:hAnsi="Arial" w:cs="Arial"/>
          <w:sz w:val="20"/>
          <w:szCs w:val="20"/>
        </w:rPr>
        <w:t>(b)</w:t>
      </w:r>
      <w:r w:rsidR="00211C96">
        <w:rPr>
          <w:rFonts w:ascii="Arial" w:hAnsi="Arial" w:cs="Arial"/>
          <w:sz w:val="20"/>
          <w:szCs w:val="20"/>
        </w:rPr>
        <w:t xml:space="preserve"> </w:t>
      </w:r>
      <w:r w:rsidR="00870888">
        <w:rPr>
          <w:rFonts w:ascii="Arial" w:hAnsi="Arial" w:cs="Arial"/>
          <w:sz w:val="20"/>
          <w:szCs w:val="20"/>
        </w:rPr>
        <w:t>HPTLC chromatograms for</w:t>
      </w:r>
      <w:r w:rsidR="009C2F9D" w:rsidRPr="00212400">
        <w:rPr>
          <w:rFonts w:ascii="Arial" w:hAnsi="Arial" w:cs="Arial"/>
          <w:sz w:val="20"/>
          <w:szCs w:val="20"/>
        </w:rPr>
        <w:t xml:space="preserve"> </w:t>
      </w:r>
      <w:r w:rsidR="00966508">
        <w:rPr>
          <w:rFonts w:ascii="Arial" w:hAnsi="Arial" w:cs="Arial"/>
          <w:sz w:val="20"/>
          <w:szCs w:val="20"/>
        </w:rPr>
        <w:t>t</w:t>
      </w:r>
      <w:r w:rsidR="009C2F9D">
        <w:rPr>
          <w:rFonts w:ascii="Arial" w:hAnsi="Arial" w:cs="Arial"/>
          <w:sz w:val="20"/>
          <w:szCs w:val="20"/>
        </w:rPr>
        <w:t>acrolimus</w:t>
      </w:r>
      <w:r w:rsidR="00966508">
        <w:rPr>
          <w:rFonts w:ascii="Arial" w:hAnsi="Arial" w:cs="Arial"/>
          <w:sz w:val="20"/>
          <w:szCs w:val="20"/>
        </w:rPr>
        <w:t xml:space="preserve"> standard</w:t>
      </w:r>
      <w:r w:rsidR="00870888">
        <w:rPr>
          <w:rFonts w:ascii="Arial" w:hAnsi="Arial" w:cs="Arial"/>
          <w:sz w:val="20"/>
          <w:szCs w:val="20"/>
        </w:rPr>
        <w:t>, t</w:t>
      </w:r>
      <w:r w:rsidR="001C5DE0">
        <w:rPr>
          <w:rFonts w:ascii="Arial" w:hAnsi="Arial" w:cs="Arial"/>
          <w:sz w:val="20"/>
          <w:szCs w:val="20"/>
        </w:rPr>
        <w:t>acrolimus simple</w:t>
      </w:r>
      <w:r w:rsidR="009C2F9D" w:rsidRPr="00212400">
        <w:rPr>
          <w:rFonts w:ascii="Arial" w:hAnsi="Arial" w:cs="Arial"/>
          <w:sz w:val="20"/>
          <w:szCs w:val="20"/>
        </w:rPr>
        <w:t xml:space="preserve"> ointment</w:t>
      </w:r>
      <w:r w:rsidR="00870888">
        <w:rPr>
          <w:rFonts w:ascii="Arial" w:hAnsi="Arial" w:cs="Arial"/>
          <w:sz w:val="20"/>
          <w:szCs w:val="20"/>
        </w:rPr>
        <w:t xml:space="preserve"> and t</w:t>
      </w:r>
      <w:r w:rsidR="001C5DE0">
        <w:rPr>
          <w:rFonts w:ascii="Arial" w:hAnsi="Arial" w:cs="Arial"/>
          <w:sz w:val="20"/>
          <w:szCs w:val="20"/>
        </w:rPr>
        <w:t>acrolimus firm ointment</w:t>
      </w:r>
    </w:p>
    <w:p w14:paraId="3F0E0DF6" w14:textId="271F5475" w:rsidR="009E56A1" w:rsidRPr="00212400" w:rsidRDefault="00B8473A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212400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Conclusion/</w:t>
      </w:r>
      <w:r w:rsidR="00C315D2" w:rsidRPr="00212400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Discussion.</w:t>
      </w:r>
      <w:r w:rsidR="00C315D2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A642FE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This study demonstrate</w:t>
      </w:r>
      <w:r w:rsidR="008A374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</w:t>
      </w:r>
      <w:r w:rsidR="00A642FE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that </w:t>
      </w:r>
      <w:r w:rsidR="008A374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developed and validated HPTLC </w:t>
      </w:r>
      <w:r w:rsidR="00A642FE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method</w:t>
      </w:r>
      <w:r w:rsidR="0013781E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</w:t>
      </w:r>
      <w:r w:rsidR="00A642FE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can accurately </w:t>
      </w:r>
      <w:r w:rsidR="00A642FE" w:rsidRPr="00A642F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quantify drug content </w:t>
      </w:r>
      <w:r w:rsidR="008A374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in </w:t>
      </w:r>
      <w:r w:rsidR="00A642FE" w:rsidRPr="00A642F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</w:t>
      </w:r>
      <w:r w:rsidR="00A642FE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ointment</w:t>
      </w:r>
      <w:r w:rsidR="008334F1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</w:t>
      </w:r>
      <w:r w:rsidR="00A642FE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A642FE" w:rsidRPr="00A642F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without excipient interference or </w:t>
      </w:r>
      <w:r w:rsidR="003C769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need for </w:t>
      </w:r>
      <w:r w:rsidR="008A374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prior </w:t>
      </w:r>
      <w:r w:rsidR="00A642FE" w:rsidRPr="00A642F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drug</w:t>
      </w:r>
      <w:r w:rsidR="00A642FE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A642FE" w:rsidRPr="00A642F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extraction</w:t>
      </w:r>
      <w:r w:rsidR="00BE50F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</w:t>
      </w:r>
      <w:r w:rsidR="00EC0F5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These findings highlight the convenience of HPTLC analysis in </w:t>
      </w:r>
      <w:r w:rsidR="001C5DE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</w:t>
      </w:r>
      <w:r w:rsidR="00EC0F5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quality control of pharmaceutical ointments. </w:t>
      </w:r>
    </w:p>
    <w:p w14:paraId="7912C896" w14:textId="77777777" w:rsidR="004B5807" w:rsidRPr="00212400" w:rsidRDefault="004B5807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2C801966" w14:textId="1CFA07E8" w:rsidR="00C315D2" w:rsidRPr="00212400" w:rsidRDefault="00C315D2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212400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References:</w:t>
      </w:r>
      <w:r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6A70DB" w:rsidRPr="0021240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This research was conducted during the author receipt of an International Fee Scholarship and a University Postgraduate Award from the University of Western Australia</w:t>
      </w:r>
      <w:r w:rsidRPr="00212400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. </w:t>
      </w:r>
    </w:p>
    <w:p w14:paraId="52550F76" w14:textId="722E41A6" w:rsidR="00CC0DCD" w:rsidRPr="00212400" w:rsidRDefault="00C315D2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212400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2138F7" w:rsidRPr="00212400">
        <w:rPr>
          <w:rFonts w:ascii="Arial" w:hAnsi="Arial" w:cs="Arial"/>
          <w:sz w:val="20"/>
          <w:szCs w:val="20"/>
        </w:rPr>
        <w:t>Islam, M.K. et al (2020) JPC</w:t>
      </w:r>
      <w:r w:rsidR="00C143FB" w:rsidRPr="00212400">
        <w:rPr>
          <w:rFonts w:ascii="Arial" w:hAnsi="Arial" w:cs="Arial"/>
          <w:sz w:val="20"/>
          <w:szCs w:val="20"/>
        </w:rPr>
        <w:t xml:space="preserve"> </w:t>
      </w:r>
      <w:r w:rsidR="00C143FB" w:rsidRPr="00212400">
        <w:rPr>
          <w:rFonts w:ascii="Arial" w:hAnsi="Arial" w:cs="Arial"/>
          <w:bCs/>
          <w:sz w:val="20"/>
          <w:szCs w:val="20"/>
        </w:rPr>
        <w:t>33</w:t>
      </w:r>
      <w:r w:rsidR="001D0F97" w:rsidRPr="00212400">
        <w:rPr>
          <w:rFonts w:ascii="Arial" w:hAnsi="Arial" w:cs="Arial"/>
          <w:bCs/>
          <w:sz w:val="20"/>
          <w:szCs w:val="20"/>
        </w:rPr>
        <w:t>:</w:t>
      </w:r>
      <w:r w:rsidR="001D0F97" w:rsidRPr="00212400">
        <w:rPr>
          <w:rFonts w:ascii="Arial" w:hAnsi="Arial" w:cs="Arial"/>
          <w:sz w:val="20"/>
          <w:szCs w:val="20"/>
        </w:rPr>
        <w:t xml:space="preserve"> </w:t>
      </w:r>
      <w:r w:rsidR="00C143FB" w:rsidRPr="00212400">
        <w:rPr>
          <w:rFonts w:ascii="Arial" w:hAnsi="Arial" w:cs="Arial"/>
          <w:sz w:val="20"/>
          <w:szCs w:val="20"/>
        </w:rPr>
        <w:t>489-499</w:t>
      </w:r>
    </w:p>
    <w:p w14:paraId="4179E61B" w14:textId="1FECBC06" w:rsidR="001D47C2" w:rsidRPr="00212400" w:rsidRDefault="002138F7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212400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(2) </w:t>
      </w:r>
      <w:r w:rsidR="001D47C2" w:rsidRPr="00212400">
        <w:rPr>
          <w:rFonts w:ascii="Arial" w:hAnsi="Arial" w:cs="Arial"/>
          <w:sz w:val="20"/>
          <w:szCs w:val="20"/>
        </w:rPr>
        <w:t>Islam, M.K. et al (</w:t>
      </w:r>
      <w:r w:rsidR="00904BB7" w:rsidRPr="00212400">
        <w:rPr>
          <w:rFonts w:ascii="Arial" w:hAnsi="Arial" w:cs="Arial"/>
          <w:sz w:val="20"/>
          <w:szCs w:val="20"/>
        </w:rPr>
        <w:t xml:space="preserve">2020) Molecules </w:t>
      </w:r>
      <w:r w:rsidR="00904BB7" w:rsidRPr="00212400">
        <w:rPr>
          <w:rFonts w:ascii="Arial" w:hAnsi="Arial" w:cs="Arial"/>
          <w:bCs/>
          <w:sz w:val="20"/>
          <w:szCs w:val="20"/>
        </w:rPr>
        <w:t xml:space="preserve">25: </w:t>
      </w:r>
      <w:r w:rsidR="001E4B83" w:rsidRPr="00212400">
        <w:rPr>
          <w:rFonts w:ascii="Arial" w:hAnsi="Arial" w:cs="Arial"/>
          <w:bCs/>
          <w:sz w:val="20"/>
          <w:szCs w:val="20"/>
        </w:rPr>
        <w:t>5289</w:t>
      </w:r>
    </w:p>
    <w:p w14:paraId="7D6E388F" w14:textId="22008B1A" w:rsidR="00113BB7" w:rsidRPr="009B1CBB" w:rsidRDefault="00C315D2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</w:t>
      </w:r>
      <w:r w:rsidR="001E4B8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3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="00E95B3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</w:t>
      </w:r>
      <w:r w:rsidR="00E95B3D" w:rsidRPr="00E95B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slam, M.K. et al</w:t>
      </w:r>
      <w:r w:rsidR="00E95B3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(202</w:t>
      </w:r>
      <w:r w:rsidR="00E95B3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1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="0001664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JPC </w:t>
      </w:r>
      <w:r w:rsidR="00C108FF" w:rsidRPr="00C108F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34</w:t>
      </w:r>
      <w:r w:rsidR="0001664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:</w:t>
      </w:r>
      <w:r w:rsidR="00C108FF" w:rsidRPr="00C108F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189-195</w:t>
      </w: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034F4"/>
    <w:rsid w:val="00016648"/>
    <w:rsid w:val="00037BAD"/>
    <w:rsid w:val="00042386"/>
    <w:rsid w:val="00047BC6"/>
    <w:rsid w:val="0005606C"/>
    <w:rsid w:val="00074158"/>
    <w:rsid w:val="00087AAC"/>
    <w:rsid w:val="000A71CA"/>
    <w:rsid w:val="000D4F61"/>
    <w:rsid w:val="000E40EC"/>
    <w:rsid w:val="000E6021"/>
    <w:rsid w:val="00105148"/>
    <w:rsid w:val="00107368"/>
    <w:rsid w:val="00113BB7"/>
    <w:rsid w:val="00120A4A"/>
    <w:rsid w:val="00127D53"/>
    <w:rsid w:val="0013781E"/>
    <w:rsid w:val="0014449F"/>
    <w:rsid w:val="0015303C"/>
    <w:rsid w:val="001615E8"/>
    <w:rsid w:val="00162EA8"/>
    <w:rsid w:val="001826EE"/>
    <w:rsid w:val="00186439"/>
    <w:rsid w:val="0019651D"/>
    <w:rsid w:val="001A7721"/>
    <w:rsid w:val="001B7632"/>
    <w:rsid w:val="001C5DE0"/>
    <w:rsid w:val="001D0F97"/>
    <w:rsid w:val="001D47C2"/>
    <w:rsid w:val="001E4B83"/>
    <w:rsid w:val="001F599C"/>
    <w:rsid w:val="001F60BF"/>
    <w:rsid w:val="002017E6"/>
    <w:rsid w:val="002079D3"/>
    <w:rsid w:val="002114E3"/>
    <w:rsid w:val="00211C96"/>
    <w:rsid w:val="00212400"/>
    <w:rsid w:val="002138F7"/>
    <w:rsid w:val="0021400D"/>
    <w:rsid w:val="00221282"/>
    <w:rsid w:val="00256A57"/>
    <w:rsid w:val="00277444"/>
    <w:rsid w:val="00294059"/>
    <w:rsid w:val="00295DD2"/>
    <w:rsid w:val="002A06AE"/>
    <w:rsid w:val="002B7A7A"/>
    <w:rsid w:val="002C4255"/>
    <w:rsid w:val="002D2991"/>
    <w:rsid w:val="002F0DF9"/>
    <w:rsid w:val="00302B0D"/>
    <w:rsid w:val="00302C74"/>
    <w:rsid w:val="00310F69"/>
    <w:rsid w:val="003206E4"/>
    <w:rsid w:val="003213BE"/>
    <w:rsid w:val="003522DB"/>
    <w:rsid w:val="00376BB7"/>
    <w:rsid w:val="003935B1"/>
    <w:rsid w:val="003A6D5C"/>
    <w:rsid w:val="003B56F9"/>
    <w:rsid w:val="003B6EDD"/>
    <w:rsid w:val="003C5F90"/>
    <w:rsid w:val="003C7698"/>
    <w:rsid w:val="003E29DD"/>
    <w:rsid w:val="00423224"/>
    <w:rsid w:val="00452FA5"/>
    <w:rsid w:val="00464D30"/>
    <w:rsid w:val="00484350"/>
    <w:rsid w:val="004878C1"/>
    <w:rsid w:val="00491D25"/>
    <w:rsid w:val="0049548B"/>
    <w:rsid w:val="00496A80"/>
    <w:rsid w:val="004A2509"/>
    <w:rsid w:val="004A3B37"/>
    <w:rsid w:val="004A419D"/>
    <w:rsid w:val="004A51B6"/>
    <w:rsid w:val="004B5807"/>
    <w:rsid w:val="004D3988"/>
    <w:rsid w:val="004E5776"/>
    <w:rsid w:val="00510CF8"/>
    <w:rsid w:val="00544F49"/>
    <w:rsid w:val="00545689"/>
    <w:rsid w:val="005456C1"/>
    <w:rsid w:val="005622F0"/>
    <w:rsid w:val="005670DE"/>
    <w:rsid w:val="00575A29"/>
    <w:rsid w:val="00576B56"/>
    <w:rsid w:val="00586026"/>
    <w:rsid w:val="005D2485"/>
    <w:rsid w:val="005E0CC5"/>
    <w:rsid w:val="005E689F"/>
    <w:rsid w:val="00601754"/>
    <w:rsid w:val="00645BE2"/>
    <w:rsid w:val="00660AEE"/>
    <w:rsid w:val="00661F11"/>
    <w:rsid w:val="00685689"/>
    <w:rsid w:val="00692486"/>
    <w:rsid w:val="006A34BE"/>
    <w:rsid w:val="006A70DB"/>
    <w:rsid w:val="006B2596"/>
    <w:rsid w:val="006F0385"/>
    <w:rsid w:val="006F3F1C"/>
    <w:rsid w:val="007024C9"/>
    <w:rsid w:val="00710FE3"/>
    <w:rsid w:val="007141F2"/>
    <w:rsid w:val="007205C7"/>
    <w:rsid w:val="00723AE5"/>
    <w:rsid w:val="007561D8"/>
    <w:rsid w:val="00776208"/>
    <w:rsid w:val="007853EF"/>
    <w:rsid w:val="00792B82"/>
    <w:rsid w:val="00795378"/>
    <w:rsid w:val="00796206"/>
    <w:rsid w:val="007B1B63"/>
    <w:rsid w:val="007B2A72"/>
    <w:rsid w:val="007C367E"/>
    <w:rsid w:val="007C6EAB"/>
    <w:rsid w:val="007D17E2"/>
    <w:rsid w:val="007D596E"/>
    <w:rsid w:val="007E7750"/>
    <w:rsid w:val="007F44F8"/>
    <w:rsid w:val="008071C5"/>
    <w:rsid w:val="008118BB"/>
    <w:rsid w:val="008156D3"/>
    <w:rsid w:val="008205D8"/>
    <w:rsid w:val="00821A52"/>
    <w:rsid w:val="00832753"/>
    <w:rsid w:val="008334F1"/>
    <w:rsid w:val="00835F0E"/>
    <w:rsid w:val="0084119A"/>
    <w:rsid w:val="00870888"/>
    <w:rsid w:val="008743C1"/>
    <w:rsid w:val="008A3743"/>
    <w:rsid w:val="008A42BC"/>
    <w:rsid w:val="008B2E17"/>
    <w:rsid w:val="008B439C"/>
    <w:rsid w:val="008C797D"/>
    <w:rsid w:val="008E6656"/>
    <w:rsid w:val="008F5304"/>
    <w:rsid w:val="00904BB7"/>
    <w:rsid w:val="00906D34"/>
    <w:rsid w:val="00933DC9"/>
    <w:rsid w:val="00936D4C"/>
    <w:rsid w:val="00941AEF"/>
    <w:rsid w:val="00944A24"/>
    <w:rsid w:val="009523F9"/>
    <w:rsid w:val="009578CA"/>
    <w:rsid w:val="009650DF"/>
    <w:rsid w:val="00966508"/>
    <w:rsid w:val="0097643B"/>
    <w:rsid w:val="00976532"/>
    <w:rsid w:val="0098387B"/>
    <w:rsid w:val="00995250"/>
    <w:rsid w:val="009B1CBB"/>
    <w:rsid w:val="009C2F9D"/>
    <w:rsid w:val="009E56A1"/>
    <w:rsid w:val="009F6B57"/>
    <w:rsid w:val="00A01D1B"/>
    <w:rsid w:val="00A0516D"/>
    <w:rsid w:val="00A2040E"/>
    <w:rsid w:val="00A642FE"/>
    <w:rsid w:val="00A73BAB"/>
    <w:rsid w:val="00A8493C"/>
    <w:rsid w:val="00A874CB"/>
    <w:rsid w:val="00A90285"/>
    <w:rsid w:val="00AA0065"/>
    <w:rsid w:val="00AB0168"/>
    <w:rsid w:val="00AD52FC"/>
    <w:rsid w:val="00AF5F88"/>
    <w:rsid w:val="00B04241"/>
    <w:rsid w:val="00B132E3"/>
    <w:rsid w:val="00B24FA0"/>
    <w:rsid w:val="00B25EF5"/>
    <w:rsid w:val="00B4721D"/>
    <w:rsid w:val="00B4772B"/>
    <w:rsid w:val="00B76184"/>
    <w:rsid w:val="00B81707"/>
    <w:rsid w:val="00B83A43"/>
    <w:rsid w:val="00B8473A"/>
    <w:rsid w:val="00B9021D"/>
    <w:rsid w:val="00BA10C6"/>
    <w:rsid w:val="00BB362C"/>
    <w:rsid w:val="00BE47F0"/>
    <w:rsid w:val="00BE50F8"/>
    <w:rsid w:val="00BF4378"/>
    <w:rsid w:val="00C01250"/>
    <w:rsid w:val="00C05531"/>
    <w:rsid w:val="00C108FF"/>
    <w:rsid w:val="00C143FB"/>
    <w:rsid w:val="00C21755"/>
    <w:rsid w:val="00C21815"/>
    <w:rsid w:val="00C23CD7"/>
    <w:rsid w:val="00C315D2"/>
    <w:rsid w:val="00C3454C"/>
    <w:rsid w:val="00C34A78"/>
    <w:rsid w:val="00C353D8"/>
    <w:rsid w:val="00C47A69"/>
    <w:rsid w:val="00C47E41"/>
    <w:rsid w:val="00C63DD2"/>
    <w:rsid w:val="00CC0DCD"/>
    <w:rsid w:val="00CD0ED0"/>
    <w:rsid w:val="00CD583A"/>
    <w:rsid w:val="00CD5EED"/>
    <w:rsid w:val="00CE226C"/>
    <w:rsid w:val="00CF1488"/>
    <w:rsid w:val="00CF2712"/>
    <w:rsid w:val="00CF5A91"/>
    <w:rsid w:val="00D02BB1"/>
    <w:rsid w:val="00D02C25"/>
    <w:rsid w:val="00D0468E"/>
    <w:rsid w:val="00D1236D"/>
    <w:rsid w:val="00D15053"/>
    <w:rsid w:val="00D20B20"/>
    <w:rsid w:val="00D45A74"/>
    <w:rsid w:val="00D5190D"/>
    <w:rsid w:val="00D57475"/>
    <w:rsid w:val="00D71DCB"/>
    <w:rsid w:val="00D7428F"/>
    <w:rsid w:val="00D903CB"/>
    <w:rsid w:val="00DA766D"/>
    <w:rsid w:val="00DB656F"/>
    <w:rsid w:val="00DD5F6D"/>
    <w:rsid w:val="00DE2F87"/>
    <w:rsid w:val="00DF5D19"/>
    <w:rsid w:val="00E01151"/>
    <w:rsid w:val="00E1717C"/>
    <w:rsid w:val="00E308DD"/>
    <w:rsid w:val="00E42970"/>
    <w:rsid w:val="00E61060"/>
    <w:rsid w:val="00E635D2"/>
    <w:rsid w:val="00E81789"/>
    <w:rsid w:val="00E858B8"/>
    <w:rsid w:val="00E94621"/>
    <w:rsid w:val="00E95B3D"/>
    <w:rsid w:val="00EC0F58"/>
    <w:rsid w:val="00EC3746"/>
    <w:rsid w:val="00EE72AB"/>
    <w:rsid w:val="00EF3D1A"/>
    <w:rsid w:val="00F32AEF"/>
    <w:rsid w:val="00F33435"/>
    <w:rsid w:val="00F36584"/>
    <w:rsid w:val="00F539FB"/>
    <w:rsid w:val="00F5620E"/>
    <w:rsid w:val="00F73CCF"/>
    <w:rsid w:val="00F84531"/>
    <w:rsid w:val="00F85528"/>
    <w:rsid w:val="00FA4638"/>
    <w:rsid w:val="00FA5387"/>
    <w:rsid w:val="00FA6493"/>
    <w:rsid w:val="00FF17AA"/>
    <w:rsid w:val="00FF25F6"/>
    <w:rsid w:val="00FF4EBD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A71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7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B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B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B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FA7FD-66AA-4DA1-BE6D-DCF892D7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K M Yasif Kayes Sikdar</cp:lastModifiedBy>
  <cp:revision>5</cp:revision>
  <dcterms:created xsi:type="dcterms:W3CDTF">2025-05-29T05:28:00Z</dcterms:created>
  <dcterms:modified xsi:type="dcterms:W3CDTF">2025-05-29T19:15:00Z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