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8C0B" w14:textId="46C73179" w:rsidR="00D64AB9" w:rsidRPr="00D64AB9" w:rsidRDefault="00D64AB9" w:rsidP="00D64AB9">
      <w:pPr>
        <w:spacing w:line="240" w:lineRule="auto"/>
        <w:rPr>
          <w:rFonts w:ascii="Times New Roman" w:eastAsia="Times New Roman" w:hAnsi="Times New Roman" w:cs="Times New Roman"/>
          <w:b/>
          <w:color w:val="000000"/>
        </w:rPr>
      </w:pPr>
      <w:r w:rsidRPr="00D64AB9">
        <w:rPr>
          <w:rFonts w:ascii="Arial" w:hAnsi="Arial" w:cs="Arial"/>
          <w:b/>
          <w:bCs/>
        </w:rPr>
        <w:t xml:space="preserve">Sub-acute </w:t>
      </w:r>
      <w:r w:rsidR="0014106F">
        <w:rPr>
          <w:rFonts w:ascii="Arial" w:hAnsi="Arial" w:cs="Arial"/>
          <w:b/>
          <w:bCs/>
        </w:rPr>
        <w:t>t</w:t>
      </w:r>
      <w:r w:rsidRPr="00D64AB9">
        <w:rPr>
          <w:rFonts w:ascii="Arial" w:hAnsi="Arial" w:cs="Arial"/>
          <w:b/>
          <w:bCs/>
        </w:rPr>
        <w:t xml:space="preserve">oxicity study of </w:t>
      </w:r>
      <w:r w:rsidRPr="00D64AB9">
        <w:rPr>
          <w:rFonts w:ascii="Arial" w:hAnsi="Arial" w:cs="Arial"/>
          <w:b/>
          <w:bCs/>
          <w:lang w:eastAsia="ko-KR"/>
        </w:rPr>
        <w:t xml:space="preserve">decoction </w:t>
      </w:r>
      <w:r w:rsidRPr="00D64AB9">
        <w:rPr>
          <w:rFonts w:ascii="Arial" w:hAnsi="Arial" w:cs="Arial"/>
          <w:b/>
          <w:bCs/>
        </w:rPr>
        <w:t xml:space="preserve">extract and powder of </w:t>
      </w:r>
      <w:r w:rsidRPr="00D64AB9">
        <w:rPr>
          <w:rFonts w:ascii="Arial" w:hAnsi="Arial" w:cs="Arial"/>
          <w:b/>
          <w:color w:val="000000" w:themeColor="text1"/>
        </w:rPr>
        <w:t>Polygonum Multiflorum Radix (PMR)</w:t>
      </w:r>
      <w:r w:rsidRPr="00D64AB9">
        <w:rPr>
          <w:rFonts w:ascii="Arial" w:hAnsi="Arial" w:cs="Arial"/>
          <w:b/>
          <w:bCs/>
        </w:rPr>
        <w:t xml:space="preserve"> by 4-week repeated oral administration in </w:t>
      </w:r>
      <w:bookmarkStart w:id="0" w:name="_Hlk193700912"/>
      <w:r w:rsidRPr="00D64AB9">
        <w:rPr>
          <w:rFonts w:ascii="Arial" w:eastAsia="Times New Roman" w:hAnsi="Arial" w:cs="Arial"/>
          <w:b/>
          <w:color w:val="000000"/>
        </w:rPr>
        <w:t>Sprague-Dawley (SD) rats</w:t>
      </w:r>
      <w:bookmarkEnd w:id="0"/>
    </w:p>
    <w:p w14:paraId="51BB939E" w14:textId="685990CB" w:rsidR="000F496A" w:rsidRPr="002529EA" w:rsidRDefault="000F496A" w:rsidP="000F496A">
      <w:pPr>
        <w:spacing w:after="0" w:line="240" w:lineRule="auto"/>
        <w:contextualSpacing/>
        <w:rPr>
          <w:rFonts w:ascii="Arial" w:hAnsi="Arial" w:cs="Arial"/>
          <w:color w:val="000000" w:themeColor="text1"/>
          <w:sz w:val="20"/>
          <w:szCs w:val="20"/>
          <w:lang w:val="de-DE"/>
        </w:rPr>
      </w:pPr>
      <w:r w:rsidRPr="002529EA">
        <w:rPr>
          <w:rFonts w:ascii="Arial" w:hAnsi="Arial" w:cs="Arial"/>
          <w:b/>
          <w:bCs/>
          <w:color w:val="000000" w:themeColor="text1"/>
          <w:sz w:val="20"/>
          <w:szCs w:val="20"/>
          <w:u w:val="single"/>
          <w:lang w:val="de-DE"/>
        </w:rPr>
        <w:t>Seung Eui Min</w:t>
      </w:r>
      <w:r w:rsidRPr="002529EA">
        <w:rPr>
          <w:rFonts w:ascii="Arial" w:hAnsi="Arial" w:cs="Arial"/>
          <w:b/>
          <w:bCs/>
          <w:color w:val="000000" w:themeColor="text1"/>
          <w:sz w:val="20"/>
          <w:szCs w:val="20"/>
          <w:u w:val="single"/>
          <w:vertAlign w:val="superscript"/>
          <w:lang w:val="de-DE"/>
        </w:rPr>
        <w:t>1, 2</w:t>
      </w:r>
      <w:r w:rsidRPr="002529EA">
        <w:rPr>
          <w:rFonts w:ascii="Arial" w:hAnsi="Arial" w:cs="Arial"/>
          <w:color w:val="000000" w:themeColor="text1"/>
          <w:sz w:val="20"/>
          <w:szCs w:val="20"/>
          <w:lang w:val="de-DE"/>
        </w:rPr>
        <w:t xml:space="preserve">, </w:t>
      </w:r>
      <w:r w:rsidR="00B25880">
        <w:rPr>
          <w:rFonts w:ascii="Arial" w:hAnsi="Arial" w:cs="Arial"/>
          <w:color w:val="000000" w:themeColor="text1"/>
          <w:sz w:val="20"/>
          <w:szCs w:val="20"/>
          <w:lang w:val="de-DE"/>
        </w:rPr>
        <w:t>Seunghee Oh</w:t>
      </w:r>
      <w:r w:rsidR="00B25880" w:rsidRPr="002529EA">
        <w:rPr>
          <w:rFonts w:ascii="Arial" w:hAnsi="Arial" w:cs="Arial"/>
          <w:color w:val="000000" w:themeColor="text1"/>
          <w:sz w:val="20"/>
          <w:szCs w:val="20"/>
          <w:vertAlign w:val="superscript"/>
          <w:lang w:val="de-DE"/>
        </w:rPr>
        <w:t>2</w:t>
      </w:r>
      <w:r w:rsidR="00B25880" w:rsidRPr="002529EA">
        <w:rPr>
          <w:rFonts w:ascii="Arial" w:hAnsi="Arial" w:cs="Arial"/>
          <w:color w:val="000000" w:themeColor="text1"/>
          <w:sz w:val="20"/>
          <w:szCs w:val="20"/>
          <w:lang w:val="de-DE"/>
        </w:rPr>
        <w:t xml:space="preserve">, </w:t>
      </w:r>
      <w:r w:rsidRPr="002529EA">
        <w:rPr>
          <w:rFonts w:ascii="Arial" w:hAnsi="Arial" w:cs="Arial"/>
          <w:color w:val="000000" w:themeColor="text1"/>
          <w:sz w:val="20"/>
          <w:szCs w:val="20"/>
          <w:lang w:val="de-DE"/>
        </w:rPr>
        <w:t>Min Seong Jang</w:t>
      </w:r>
      <w:r w:rsidRPr="002529EA">
        <w:rPr>
          <w:rFonts w:ascii="Arial" w:hAnsi="Arial" w:cs="Arial"/>
          <w:color w:val="000000" w:themeColor="text1"/>
          <w:sz w:val="20"/>
          <w:szCs w:val="20"/>
          <w:vertAlign w:val="superscript"/>
          <w:lang w:val="de-DE"/>
        </w:rPr>
        <w:t>2</w:t>
      </w:r>
      <w:r w:rsidRPr="002529EA">
        <w:rPr>
          <w:rFonts w:ascii="Arial" w:hAnsi="Arial" w:cs="Arial"/>
          <w:color w:val="000000" w:themeColor="text1"/>
          <w:sz w:val="20"/>
          <w:szCs w:val="20"/>
          <w:lang w:val="de-DE"/>
        </w:rPr>
        <w:t>, Yong-Bum Kim</w:t>
      </w:r>
      <w:r w:rsidRPr="002529EA">
        <w:rPr>
          <w:rFonts w:ascii="Arial" w:hAnsi="Arial" w:cs="Arial"/>
          <w:color w:val="000000" w:themeColor="text1"/>
          <w:sz w:val="20"/>
          <w:szCs w:val="20"/>
          <w:vertAlign w:val="superscript"/>
          <w:lang w:val="de-DE"/>
        </w:rPr>
        <w:t>2</w:t>
      </w:r>
      <w:r w:rsidRPr="002529EA">
        <w:rPr>
          <w:rFonts w:ascii="Arial" w:hAnsi="Arial" w:cs="Arial"/>
          <w:color w:val="000000" w:themeColor="text1"/>
          <w:sz w:val="20"/>
          <w:szCs w:val="20"/>
          <w:lang w:val="de-DE"/>
        </w:rPr>
        <w:t>, Byung Sun Min</w:t>
      </w:r>
      <w:r w:rsidRPr="002529EA">
        <w:rPr>
          <w:rFonts w:ascii="Arial" w:hAnsi="Arial" w:cs="Arial"/>
          <w:color w:val="000000" w:themeColor="text1"/>
          <w:sz w:val="20"/>
          <w:szCs w:val="20"/>
          <w:vertAlign w:val="superscript"/>
          <w:lang w:val="de-DE"/>
        </w:rPr>
        <w:t>3</w:t>
      </w:r>
      <w:r w:rsidRPr="002529EA">
        <w:rPr>
          <w:rFonts w:ascii="Arial" w:hAnsi="Arial" w:cs="Arial"/>
          <w:color w:val="000000" w:themeColor="text1"/>
          <w:sz w:val="20"/>
          <w:szCs w:val="20"/>
          <w:lang w:val="de-DE"/>
        </w:rPr>
        <w:t>, Jeong Ah Kim</w:t>
      </w:r>
      <w:r w:rsidRPr="002529EA">
        <w:rPr>
          <w:rFonts w:ascii="Arial" w:hAnsi="Arial" w:cs="Arial"/>
          <w:color w:val="000000" w:themeColor="text1"/>
          <w:sz w:val="20"/>
          <w:szCs w:val="20"/>
          <w:vertAlign w:val="superscript"/>
          <w:lang w:val="de-DE"/>
        </w:rPr>
        <w:t>4</w:t>
      </w:r>
      <w:r w:rsidRPr="002529EA">
        <w:rPr>
          <w:rFonts w:ascii="Arial" w:hAnsi="Arial" w:cs="Arial"/>
          <w:color w:val="000000" w:themeColor="text1"/>
          <w:sz w:val="20"/>
          <w:szCs w:val="20"/>
          <w:lang w:val="de-DE"/>
        </w:rPr>
        <w:t>, and Kang-Hyun Han</w:t>
      </w:r>
      <w:r w:rsidRPr="002529EA">
        <w:rPr>
          <w:rFonts w:ascii="Arial" w:hAnsi="Arial" w:cs="Arial"/>
          <w:color w:val="000000" w:themeColor="text1"/>
          <w:sz w:val="20"/>
          <w:szCs w:val="20"/>
          <w:vertAlign w:val="superscript"/>
          <w:lang w:val="de-DE"/>
        </w:rPr>
        <w:t>1, 2</w:t>
      </w:r>
      <w:r w:rsidRPr="002529EA">
        <w:rPr>
          <w:rFonts w:ascii="Arial" w:hAnsi="Arial" w:cs="Arial"/>
          <w:color w:val="000000" w:themeColor="text1"/>
          <w:sz w:val="20"/>
          <w:szCs w:val="20"/>
          <w:lang w:val="de-DE"/>
        </w:rPr>
        <w:t xml:space="preserve">  </w:t>
      </w:r>
    </w:p>
    <w:p w14:paraId="603B1787" w14:textId="619FFD0C" w:rsidR="000F496A" w:rsidRPr="000F496A" w:rsidRDefault="000F496A" w:rsidP="000F496A">
      <w:pPr>
        <w:spacing w:after="0" w:line="240" w:lineRule="auto"/>
        <w:contextualSpacing/>
        <w:rPr>
          <w:rFonts w:ascii="Arial" w:hAnsi="Arial" w:cs="Arial"/>
          <w:color w:val="000000"/>
          <w:sz w:val="20"/>
          <w:szCs w:val="20"/>
        </w:rPr>
      </w:pPr>
      <w:r w:rsidRPr="000F496A">
        <w:rPr>
          <w:rFonts w:ascii="Arial" w:hAnsi="Arial" w:cs="Arial"/>
          <w:color w:val="000000"/>
          <w:sz w:val="20"/>
          <w:szCs w:val="20"/>
          <w:vertAlign w:val="superscript"/>
        </w:rPr>
        <w:t xml:space="preserve">1 </w:t>
      </w:r>
      <w:r w:rsidRPr="000F496A">
        <w:rPr>
          <w:rFonts w:ascii="Arial" w:hAnsi="Arial" w:cs="Arial"/>
          <w:color w:val="000000"/>
          <w:sz w:val="20"/>
          <w:szCs w:val="20"/>
        </w:rPr>
        <w:t xml:space="preserve">Human and Environmental Toxicology, University of Science and Technology, 217 Gajeong-ro, Yuseong-gu, Daejeon, 34113, Republic of Korea, </w:t>
      </w:r>
    </w:p>
    <w:p w14:paraId="56027952" w14:textId="77777777" w:rsidR="000F496A" w:rsidRPr="000F496A" w:rsidRDefault="000F496A" w:rsidP="000F496A">
      <w:pPr>
        <w:spacing w:after="0" w:line="240" w:lineRule="auto"/>
        <w:contextualSpacing/>
        <w:rPr>
          <w:rFonts w:ascii="Arial" w:hAnsi="Arial" w:cs="Arial"/>
          <w:color w:val="000000"/>
          <w:sz w:val="20"/>
          <w:szCs w:val="20"/>
        </w:rPr>
      </w:pPr>
      <w:r w:rsidRPr="000F496A">
        <w:rPr>
          <w:rFonts w:ascii="Arial" w:hAnsi="Arial" w:cs="Arial"/>
          <w:color w:val="000000"/>
          <w:sz w:val="20"/>
          <w:szCs w:val="20"/>
          <w:vertAlign w:val="superscript"/>
        </w:rPr>
        <w:t xml:space="preserve">2 </w:t>
      </w:r>
      <w:r w:rsidRPr="000F496A">
        <w:rPr>
          <w:rFonts w:ascii="Arial" w:hAnsi="Arial" w:cs="Arial"/>
          <w:color w:val="000000"/>
          <w:sz w:val="20"/>
          <w:szCs w:val="20"/>
        </w:rPr>
        <w:t xml:space="preserve">Department of Advanced Toxicology Research, Korea Institute of Toxicology, 141 Gajeong-ro, Yuseong-gu, Daejeon, 34114, Republic of Korea, </w:t>
      </w:r>
    </w:p>
    <w:p w14:paraId="37F5327B" w14:textId="77777777" w:rsidR="000F496A" w:rsidRPr="000F496A" w:rsidRDefault="000F496A" w:rsidP="000F496A">
      <w:pPr>
        <w:spacing w:after="0" w:line="240" w:lineRule="auto"/>
        <w:contextualSpacing/>
        <w:rPr>
          <w:rFonts w:ascii="Arial" w:hAnsi="Arial" w:cs="Arial"/>
          <w:color w:val="000000"/>
          <w:sz w:val="20"/>
          <w:szCs w:val="20"/>
        </w:rPr>
      </w:pPr>
      <w:r w:rsidRPr="000F496A">
        <w:rPr>
          <w:rFonts w:ascii="Arial" w:hAnsi="Arial" w:cs="Arial"/>
          <w:color w:val="000000"/>
          <w:sz w:val="20"/>
          <w:szCs w:val="20"/>
          <w:vertAlign w:val="superscript"/>
        </w:rPr>
        <w:t xml:space="preserve">3 </w:t>
      </w:r>
      <w:r w:rsidRPr="000F496A">
        <w:rPr>
          <w:rFonts w:ascii="Arial" w:hAnsi="Arial" w:cs="Arial"/>
          <w:color w:val="000000"/>
          <w:sz w:val="20"/>
          <w:szCs w:val="20"/>
        </w:rPr>
        <w:t xml:space="preserve">College of Pharmacy, Daegu Catholic University, Gyeongsan, Gyeongbuk 38430, Republic of Korea, </w:t>
      </w:r>
    </w:p>
    <w:p w14:paraId="549E5D8B" w14:textId="77777777" w:rsidR="000F496A" w:rsidRPr="000F496A" w:rsidRDefault="000F496A" w:rsidP="000F496A">
      <w:pPr>
        <w:spacing w:after="0" w:line="240" w:lineRule="auto"/>
        <w:contextualSpacing/>
        <w:rPr>
          <w:rFonts w:ascii="Arial" w:hAnsi="Arial" w:cs="Arial"/>
          <w:color w:val="000000" w:themeColor="text1"/>
          <w:sz w:val="20"/>
          <w:szCs w:val="20"/>
          <w:vertAlign w:val="superscript"/>
        </w:rPr>
      </w:pPr>
      <w:r w:rsidRPr="000F496A">
        <w:rPr>
          <w:rFonts w:ascii="Arial" w:hAnsi="Arial" w:cs="Arial"/>
          <w:color w:val="000000"/>
          <w:sz w:val="20"/>
          <w:szCs w:val="20"/>
          <w:vertAlign w:val="superscript"/>
        </w:rPr>
        <w:t>4</w:t>
      </w:r>
      <w:r w:rsidRPr="000F496A">
        <w:rPr>
          <w:rFonts w:ascii="Arial" w:hAnsi="Arial" w:cs="Arial"/>
          <w:color w:val="000000"/>
          <w:sz w:val="20"/>
          <w:szCs w:val="20"/>
        </w:rPr>
        <w:t xml:space="preserve"> College of Pharmacy, Kyungpook National University, Daegu 41566, Republic of Korea</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729BD711"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0F496A" w:rsidRPr="000F496A">
        <w:rPr>
          <w:rFonts w:ascii="Arial" w:eastAsia="Calibri" w:hAnsi="Arial" w:cs="Calibri"/>
          <w:bCs/>
          <w:kern w:val="0"/>
          <w:sz w:val="20"/>
          <w:szCs w:val="20"/>
          <w14:ligatures w14:val="none"/>
        </w:rPr>
        <w:t>Polygonum Multiflorum Radix (PMR) is a traditional herbal medicine native to China and has been traditionally used in Asia for its various biological activities, including tonic properties and hair blacking. There are various extraction methods for PMR; decoction extract and powder form are mainly used. However, toxicity information on these PMR decoction extracts and powders is lacking, so toxicity studies are needed. This study presents the results of a 4-week repeated administration of two test substances</w:t>
      </w:r>
      <w:r w:rsidR="003A725F">
        <w:rPr>
          <w:rFonts w:ascii="Arial" w:eastAsia="Calibri" w:hAnsi="Arial" w:cs="Calibri"/>
          <w:bCs/>
          <w:kern w:val="0"/>
          <w:sz w:val="20"/>
          <w:szCs w:val="20"/>
          <w14:ligatures w14:val="none"/>
        </w:rPr>
        <w:t xml:space="preserve"> for long-term toxicity study</w:t>
      </w:r>
      <w:r w:rsidR="000F496A" w:rsidRPr="000F496A">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94EB6A3"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0F496A" w:rsidRPr="000F496A">
        <w:rPr>
          <w:rFonts w:ascii="Arial" w:eastAsia="Calibri" w:hAnsi="Arial" w:cs="Calibri"/>
          <w:bCs/>
          <w:kern w:val="0"/>
          <w:sz w:val="20"/>
          <w:szCs w:val="20"/>
          <w14:ligatures w14:val="none"/>
        </w:rPr>
        <w:t>Test substances were orally administered to SD rats of both sexes at doses of 0, 250, 500, 1000, 2000, and 5000 mg/kg/day for 4 weeks. Mortality and clinical sign</w:t>
      </w:r>
      <w:r w:rsidR="000F496A" w:rsidRPr="000F496A">
        <w:rPr>
          <w:rFonts w:ascii="Arial" w:eastAsia="Calibri" w:hAnsi="Arial" w:cs="Calibri" w:hint="eastAsia"/>
          <w:bCs/>
          <w:kern w:val="0"/>
          <w:sz w:val="20"/>
          <w:szCs w:val="20"/>
          <w14:ligatures w14:val="none"/>
        </w:rPr>
        <w:t>s</w:t>
      </w:r>
      <w:r w:rsidR="000F496A" w:rsidRPr="000F496A">
        <w:rPr>
          <w:rFonts w:ascii="Arial" w:eastAsia="Calibri" w:hAnsi="Arial" w:cs="Calibri"/>
          <w:bCs/>
          <w:kern w:val="0"/>
          <w:sz w:val="20"/>
          <w:szCs w:val="20"/>
          <w14:ligatures w14:val="none"/>
        </w:rPr>
        <w:t xml:space="preserve"> were observed, as well as body weight, food consumption, hematology, clinical chemistry, organ weight, and macroscopic findings.</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67C0A1C9" w:rsidR="00C315D2" w:rsidRPr="00C315D2" w:rsidRDefault="00795378" w:rsidP="2021B9E9">
      <w:pPr>
        <w:spacing w:after="0" w:line="240" w:lineRule="auto"/>
        <w:jc w:val="both"/>
        <w:rPr>
          <w:rFonts w:ascii="Arial" w:eastAsia="Calibri" w:hAnsi="Arial" w:cs="Calibri"/>
          <w:kern w:val="0"/>
          <w:sz w:val="20"/>
          <w:szCs w:val="20"/>
          <w:lang w:val="en-US"/>
          <w14:ligatures w14:val="none"/>
        </w:rPr>
      </w:pPr>
      <w:bookmarkStart w:id="1" w:name="_Hlk199082738"/>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0F496A" w:rsidRPr="000F496A">
        <w:rPr>
          <w:rFonts w:ascii="Arial" w:eastAsia="Calibri" w:hAnsi="Arial" w:cs="Calibri"/>
          <w:kern w:val="0"/>
          <w:sz w:val="20"/>
          <w:szCs w:val="20"/>
          <w:lang w:val="en-US"/>
          <w14:ligatures w14:val="none"/>
        </w:rPr>
        <w:t>As a result of the study, no test item-related mortality, clinical signs, body weight changes, food consumption, hematology, clinical chemistry, organ weight changes, and macroscopic findings were observed. As a result of clinical sign observation, soft feces and soiled perineal regions were observed in male 2000 mg/kg/day and in both sexes of the 5000 mg/kg/day of PMR decoction extract. Soft feces and salivation were observed in male 2000 mg/kg/day and in both sexes of the 5000 mg/kg/day of PMR powder, respectively.</w:t>
      </w:r>
      <w:r w:rsidR="000F496A" w:rsidRPr="000F496A">
        <w:rPr>
          <w:rFonts w:ascii="Arial" w:eastAsia="Calibri" w:hAnsi="Arial" w:cs="Calibri" w:hint="eastAsia"/>
          <w:kern w:val="0"/>
          <w:sz w:val="20"/>
          <w:szCs w:val="20"/>
          <w:lang w:val="en-US"/>
          <w14:ligatures w14:val="none"/>
        </w:rPr>
        <w:t xml:space="preserve"> </w:t>
      </w:r>
      <w:r w:rsidR="000F496A" w:rsidRPr="000F496A">
        <w:rPr>
          <w:rFonts w:ascii="Arial" w:eastAsia="Calibri" w:hAnsi="Arial" w:cs="Calibri"/>
          <w:kern w:val="0"/>
          <w:sz w:val="20"/>
          <w:szCs w:val="20"/>
          <w:lang w:val="en-US"/>
          <w14:ligatures w14:val="none"/>
        </w:rPr>
        <w:t>However, these clinical signs were not considered to be severe adverse effects, although they were associated with the administration of the two test substances</w:t>
      </w:r>
      <w:r w:rsidR="003A4220">
        <w:rPr>
          <w:rFonts w:ascii="Arial" w:eastAsia="Calibri" w:hAnsi="Arial" w:cs="Calibri"/>
          <w:kern w:val="0"/>
          <w:sz w:val="20"/>
          <w:szCs w:val="20"/>
          <w:lang w:val="en-US"/>
          <w14:ligatures w14:val="none"/>
        </w:rPr>
        <w:t xml:space="preserve"> (Table 1)</w:t>
      </w:r>
      <w:r w:rsidR="000F496A" w:rsidRPr="000F496A">
        <w:rPr>
          <w:rFonts w:ascii="Arial" w:eastAsia="Calibri" w:hAnsi="Arial" w:cs="Calibri"/>
          <w:kern w:val="0"/>
          <w:sz w:val="20"/>
          <w:szCs w:val="20"/>
          <w:lang w:val="en-US"/>
          <w14:ligatures w14:val="none"/>
        </w:rPr>
        <w:t xml:space="preserve">. </w:t>
      </w:r>
    </w:p>
    <w:p w14:paraId="1F31A254" w14:textId="494220E8" w:rsidR="007A603A" w:rsidRDefault="00CC7D49" w:rsidP="00B94196">
      <w:pPr>
        <w:spacing w:after="0" w:line="240" w:lineRule="auto"/>
        <w:jc w:val="center"/>
        <w:rPr>
          <w:rFonts w:ascii="Arial" w:eastAsia="Calibri" w:hAnsi="Arial" w:cs="Calibri"/>
          <w:b/>
          <w:kern w:val="0"/>
          <w:sz w:val="20"/>
          <w:szCs w:val="20"/>
          <w14:ligatures w14:val="none"/>
        </w:rPr>
      </w:pPr>
      <w:r w:rsidRPr="00CC7D49">
        <w:rPr>
          <w:rFonts w:ascii="Arial" w:eastAsia="Calibri" w:hAnsi="Arial" w:cs="Calibri"/>
          <w:b/>
          <w:noProof/>
          <w:kern w:val="0"/>
          <w:sz w:val="20"/>
          <w:szCs w:val="20"/>
          <w14:ligatures w14:val="none"/>
        </w:rPr>
        <w:drawing>
          <wp:inline distT="0" distB="0" distL="0" distR="0" wp14:anchorId="08F5458B" wp14:editId="333A1774">
            <wp:extent cx="5238932" cy="2787091"/>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263480" cy="2800150"/>
                    </a:xfrm>
                    <a:prstGeom prst="rect">
                      <a:avLst/>
                    </a:prstGeom>
                  </pic:spPr>
                </pic:pic>
              </a:graphicData>
            </a:graphic>
          </wp:inline>
        </w:drawing>
      </w:r>
    </w:p>
    <w:p w14:paraId="44719324" w14:textId="614618D0" w:rsidR="00C315D2" w:rsidRPr="00936D4C" w:rsidRDefault="00C315D2" w:rsidP="2021B9E9">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Table 1. </w:t>
      </w:r>
      <w:r w:rsidR="007A603A" w:rsidRPr="007A603A">
        <w:rPr>
          <w:rFonts w:ascii="Arial" w:eastAsia="Calibri" w:hAnsi="Arial" w:cs="Calibri"/>
          <w:kern w:val="0"/>
          <w:sz w:val="20"/>
          <w:szCs w:val="20"/>
          <w:lang w:val="en-GB"/>
          <w14:ligatures w14:val="none"/>
        </w:rPr>
        <w:t>Clinical signs in a 4-week repeated-dose toxicity study with PMR decoction extract and PMR powder</w:t>
      </w:r>
      <w:r w:rsidR="007A603A">
        <w:rPr>
          <w:rFonts w:ascii="Arial" w:eastAsia="Calibri" w:hAnsi="Arial" w:cs="Calibri"/>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5387F94D" w14:textId="0A3B1390" w:rsidR="000F496A" w:rsidRPr="00C315D2" w:rsidRDefault="00B8473A" w:rsidP="000F496A">
      <w:pPr>
        <w:spacing w:after="0" w:line="240" w:lineRule="auto"/>
        <w:jc w:val="both"/>
        <w:rPr>
          <w:rFonts w:ascii="Arial" w:eastAsia="Calibri" w:hAnsi="Arial" w:cs="Calibri"/>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0F496A" w:rsidRPr="000F496A">
        <w:rPr>
          <w:rFonts w:ascii="Arial" w:eastAsia="Calibri" w:hAnsi="Arial" w:cs="Calibri"/>
          <w:kern w:val="0"/>
          <w:sz w:val="20"/>
          <w:szCs w:val="20"/>
          <w:lang w:val="en-US"/>
          <w14:ligatures w14:val="none"/>
        </w:rPr>
        <w:t>Therefore, it is recommended that the high dose for the 13-week repeated oral administration toxicity</w:t>
      </w:r>
      <w:r w:rsidR="006C0554">
        <w:rPr>
          <w:rFonts w:ascii="Arial" w:eastAsia="Calibri" w:hAnsi="Arial" w:cs="Calibri"/>
          <w:kern w:val="0"/>
          <w:sz w:val="20"/>
          <w:szCs w:val="20"/>
          <w:lang w:val="en-US"/>
          <w14:ligatures w14:val="none"/>
        </w:rPr>
        <w:t xml:space="preserve"> study</w:t>
      </w:r>
      <w:r w:rsidR="000F496A" w:rsidRPr="000F496A">
        <w:rPr>
          <w:rFonts w:ascii="Arial" w:eastAsia="Calibri" w:hAnsi="Arial" w:cs="Calibri"/>
          <w:kern w:val="0"/>
          <w:sz w:val="20"/>
          <w:szCs w:val="20"/>
          <w:lang w:val="en-US"/>
          <w14:ligatures w14:val="none"/>
        </w:rPr>
        <w:t xml:space="preserve"> of both PMR decoction extract and powder be less than 5000 mg/kg/day.</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0BDD2150" w14:textId="06488AD8" w:rsidR="00DC1DA3" w:rsidRPr="000F496A" w:rsidRDefault="00C315D2" w:rsidP="000F496A">
      <w:pPr>
        <w:spacing w:after="0" w:line="240" w:lineRule="auto"/>
        <w:jc w:val="both"/>
        <w:rPr>
          <w:rFonts w:ascii="Arial" w:eastAsia="Calibri" w:hAnsi="Arial" w:cs="Calibri"/>
          <w:kern w:val="0"/>
          <w:sz w:val="20"/>
          <w:szCs w:val="20"/>
          <w:lang w:val="en-US"/>
          <w14:ligatures w14:val="none"/>
        </w:rPr>
      </w:pPr>
      <w:r w:rsidRPr="00C315D2">
        <w:rPr>
          <w:rFonts w:ascii="Arial" w:eastAsia="Calibri" w:hAnsi="Arial" w:cs="Calibri"/>
          <w:b/>
          <w:kern w:val="0"/>
          <w:sz w:val="20"/>
          <w:szCs w:val="20"/>
          <w14:ligatures w14:val="none"/>
        </w:rPr>
        <w:lastRenderedPageBreak/>
        <w:t>References:</w:t>
      </w:r>
      <w:r w:rsidRPr="00C315D2">
        <w:rPr>
          <w:rFonts w:ascii="Arial" w:eastAsia="Calibri" w:hAnsi="Arial" w:cs="Calibri"/>
          <w:bCs/>
          <w:kern w:val="0"/>
          <w:sz w:val="20"/>
          <w:szCs w:val="20"/>
          <w14:ligatures w14:val="none"/>
        </w:rPr>
        <w:t xml:space="preserve"> </w:t>
      </w:r>
      <w:bookmarkEnd w:id="1"/>
      <w:r w:rsidR="00D64AB9" w:rsidRPr="000F496A">
        <w:rPr>
          <w:rFonts w:ascii="Arial" w:eastAsia="Calibri" w:hAnsi="Arial" w:cs="Calibri"/>
          <w:kern w:val="0"/>
          <w:sz w:val="20"/>
          <w:szCs w:val="20"/>
          <w:lang w:val="en-US"/>
          <w14:ligatures w14:val="none"/>
        </w:rPr>
        <w:t>Acknowledgements</w:t>
      </w:r>
      <w:r w:rsidR="00D64AB9">
        <w:rPr>
          <w:rFonts w:ascii="Arial" w:eastAsia="Calibri" w:hAnsi="Arial" w:cs="Calibri"/>
          <w:kern w:val="0"/>
          <w:sz w:val="20"/>
          <w:szCs w:val="20"/>
          <w:lang w:val="en-US"/>
          <w14:ligatures w14:val="none"/>
        </w:rPr>
        <w:t xml:space="preserve">: </w:t>
      </w:r>
      <w:r w:rsidR="00D64AB9" w:rsidRPr="000F496A">
        <w:rPr>
          <w:rFonts w:ascii="Arial" w:eastAsia="Calibri" w:hAnsi="Arial" w:cs="Calibri" w:hint="eastAsia"/>
          <w:kern w:val="0"/>
          <w:sz w:val="20"/>
          <w:szCs w:val="20"/>
          <w:lang w:val="en-US"/>
          <w14:ligatures w14:val="none"/>
        </w:rPr>
        <w:t>F</w:t>
      </w:r>
      <w:r w:rsidR="00D64AB9" w:rsidRPr="000F496A">
        <w:rPr>
          <w:rFonts w:ascii="Arial" w:eastAsia="Calibri" w:hAnsi="Arial" w:cs="Calibri"/>
          <w:kern w:val="0"/>
          <w:sz w:val="20"/>
          <w:szCs w:val="20"/>
          <w:lang w:val="en-US"/>
          <w14:ligatures w14:val="none"/>
        </w:rPr>
        <w:t xml:space="preserve">ounding </w:t>
      </w:r>
      <w:r w:rsidR="00D64AB9">
        <w:rPr>
          <w:rFonts w:ascii="Arial" w:eastAsia="Calibri" w:hAnsi="Arial" w:cs="Calibri"/>
          <w:kern w:val="0"/>
          <w:sz w:val="20"/>
          <w:szCs w:val="20"/>
          <w:lang w:val="en-US"/>
          <w14:ligatures w14:val="none"/>
        </w:rPr>
        <w:t>s</w:t>
      </w:r>
      <w:r w:rsidR="00D64AB9" w:rsidRPr="000F496A">
        <w:rPr>
          <w:rFonts w:ascii="Arial" w:eastAsia="Calibri" w:hAnsi="Arial" w:cs="Calibri"/>
          <w:kern w:val="0"/>
          <w:sz w:val="20"/>
          <w:szCs w:val="20"/>
          <w:lang w:val="en-US"/>
          <w14:ligatures w14:val="none"/>
        </w:rPr>
        <w:t>ource</w:t>
      </w:r>
      <w:r w:rsidR="00D64AB9">
        <w:rPr>
          <w:rFonts w:ascii="Arial" w:eastAsia="Calibri" w:hAnsi="Arial" w:cs="Calibri"/>
          <w:kern w:val="0"/>
          <w:sz w:val="20"/>
          <w:szCs w:val="20"/>
          <w:lang w:val="en-US"/>
          <w14:ligatures w14:val="none"/>
        </w:rPr>
        <w:t xml:space="preserve"> - </w:t>
      </w:r>
      <w:r w:rsidR="00D64AB9" w:rsidRPr="000F496A">
        <w:rPr>
          <w:rFonts w:ascii="Arial" w:eastAsia="Calibri" w:hAnsi="Arial" w:cs="Calibri"/>
          <w:kern w:val="0"/>
          <w:sz w:val="20"/>
          <w:szCs w:val="20"/>
          <w:lang w:val="en-US"/>
          <w14:ligatures w14:val="none"/>
        </w:rPr>
        <w:t>This research was funded by grants from the Ministry of Food and Drug Safety</w:t>
      </w:r>
      <w:r w:rsidR="00D64AB9">
        <w:rPr>
          <w:rFonts w:ascii="Arial" w:eastAsia="Calibri" w:hAnsi="Arial" w:cs="Calibri"/>
          <w:kern w:val="0"/>
          <w:sz w:val="20"/>
          <w:szCs w:val="20"/>
          <w:lang w:val="en-US"/>
          <w14:ligatures w14:val="none"/>
        </w:rPr>
        <w:t xml:space="preserve"> </w:t>
      </w:r>
      <w:r w:rsidR="00D64AB9" w:rsidRPr="00185093">
        <w:rPr>
          <w:rFonts w:ascii="Arial" w:eastAsia="Calibri" w:hAnsi="Arial" w:cs="Calibri"/>
          <w:kern w:val="0"/>
          <w:sz w:val="20"/>
          <w:szCs w:val="20"/>
          <w:lang w:val="en-US"/>
          <w14:ligatures w14:val="none"/>
        </w:rPr>
        <w:t>(</w:t>
      </w:r>
      <w:r w:rsidR="00D64AB9" w:rsidRPr="00F1456A">
        <w:rPr>
          <w:rFonts w:ascii="Arial" w:eastAsia="Calibri" w:hAnsi="Arial" w:cs="Calibri"/>
          <w:kern w:val="0"/>
          <w:sz w:val="20"/>
          <w:szCs w:val="20"/>
          <w:lang w:val="en-US"/>
          <w14:ligatures w14:val="none"/>
        </w:rPr>
        <w:t>23212MFDS204</w:t>
      </w:r>
      <w:r w:rsidR="00D64AB9" w:rsidRPr="00185093">
        <w:rPr>
          <w:rFonts w:ascii="Arial" w:eastAsia="Calibri" w:hAnsi="Arial" w:cs="Calibri"/>
          <w:kern w:val="0"/>
          <w:sz w:val="20"/>
          <w:szCs w:val="20"/>
          <w:lang w:val="en-US"/>
          <w14:ligatures w14:val="none"/>
        </w:rPr>
        <w:t>)</w:t>
      </w:r>
      <w:r w:rsidR="002529EA">
        <w:rPr>
          <w:rFonts w:ascii="Arial" w:eastAsia="Calibri" w:hAnsi="Arial" w:cs="Calibri"/>
          <w:kern w:val="0"/>
          <w:sz w:val="20"/>
          <w:szCs w:val="20"/>
          <w:lang w:val="en-US"/>
          <w14:ligatures w14:val="none"/>
        </w:rPr>
        <w:t xml:space="preserve"> </w:t>
      </w:r>
      <w:r w:rsidR="002529EA" w:rsidRPr="002529EA">
        <w:rPr>
          <w:rFonts w:ascii="Arial" w:eastAsia="Calibri" w:hAnsi="Arial" w:cs="Calibri"/>
          <w:kern w:val="0"/>
          <w:sz w:val="20"/>
          <w:szCs w:val="20"/>
          <w:lang w:val="en-US"/>
          <w14:ligatures w14:val="none"/>
        </w:rPr>
        <w:t>and the Korean Ministry of Environment (MOE) (RS-2022-KE002112;2480000626).</w:t>
      </w:r>
    </w:p>
    <w:sectPr w:rsidR="00DC1DA3" w:rsidRPr="000F49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D1FA" w14:textId="77777777" w:rsidR="007E2906" w:rsidRDefault="007E2906" w:rsidP="000F496A">
      <w:pPr>
        <w:spacing w:after="0" w:line="240" w:lineRule="auto"/>
      </w:pPr>
      <w:r>
        <w:separator/>
      </w:r>
    </w:p>
  </w:endnote>
  <w:endnote w:type="continuationSeparator" w:id="0">
    <w:p w14:paraId="71998A04" w14:textId="77777777" w:rsidR="007E2906" w:rsidRDefault="007E2906" w:rsidP="000F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3E3E" w14:textId="77777777" w:rsidR="007E2906" w:rsidRDefault="007E2906" w:rsidP="000F496A">
      <w:pPr>
        <w:spacing w:after="0" w:line="240" w:lineRule="auto"/>
      </w:pPr>
      <w:r>
        <w:separator/>
      </w:r>
    </w:p>
  </w:footnote>
  <w:footnote w:type="continuationSeparator" w:id="0">
    <w:p w14:paraId="23B4647F" w14:textId="77777777" w:rsidR="007E2906" w:rsidRDefault="007E2906" w:rsidP="000F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12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F496A"/>
    <w:rsid w:val="00107368"/>
    <w:rsid w:val="00113BB7"/>
    <w:rsid w:val="00114CCB"/>
    <w:rsid w:val="0014106F"/>
    <w:rsid w:val="00185093"/>
    <w:rsid w:val="002017E6"/>
    <w:rsid w:val="002529EA"/>
    <w:rsid w:val="00294059"/>
    <w:rsid w:val="003001D8"/>
    <w:rsid w:val="003206E4"/>
    <w:rsid w:val="003A4220"/>
    <w:rsid w:val="003A6D5C"/>
    <w:rsid w:val="003A725F"/>
    <w:rsid w:val="003D2275"/>
    <w:rsid w:val="004A51B6"/>
    <w:rsid w:val="00510CF8"/>
    <w:rsid w:val="00575A29"/>
    <w:rsid w:val="00584AA4"/>
    <w:rsid w:val="00601754"/>
    <w:rsid w:val="006055E9"/>
    <w:rsid w:val="006071C2"/>
    <w:rsid w:val="006A34BE"/>
    <w:rsid w:val="006C0554"/>
    <w:rsid w:val="006F3F1C"/>
    <w:rsid w:val="007141F2"/>
    <w:rsid w:val="007561D8"/>
    <w:rsid w:val="00795378"/>
    <w:rsid w:val="00796206"/>
    <w:rsid w:val="007A603A"/>
    <w:rsid w:val="007C367E"/>
    <w:rsid w:val="007E2906"/>
    <w:rsid w:val="008071C5"/>
    <w:rsid w:val="008C0DDF"/>
    <w:rsid w:val="008E3DEB"/>
    <w:rsid w:val="00906D34"/>
    <w:rsid w:val="00933DC9"/>
    <w:rsid w:val="00936D4C"/>
    <w:rsid w:val="009523F9"/>
    <w:rsid w:val="009650DF"/>
    <w:rsid w:val="009B1CBB"/>
    <w:rsid w:val="00A0516D"/>
    <w:rsid w:val="00B25880"/>
    <w:rsid w:val="00B4721D"/>
    <w:rsid w:val="00B4737B"/>
    <w:rsid w:val="00B5770B"/>
    <w:rsid w:val="00B8473A"/>
    <w:rsid w:val="00B94196"/>
    <w:rsid w:val="00BE79EB"/>
    <w:rsid w:val="00C1380C"/>
    <w:rsid w:val="00C21815"/>
    <w:rsid w:val="00C25489"/>
    <w:rsid w:val="00C315D2"/>
    <w:rsid w:val="00C353D8"/>
    <w:rsid w:val="00CC7D49"/>
    <w:rsid w:val="00CF5A91"/>
    <w:rsid w:val="00D02BB1"/>
    <w:rsid w:val="00D45A74"/>
    <w:rsid w:val="00D64AB9"/>
    <w:rsid w:val="00D7428F"/>
    <w:rsid w:val="00DC1DA3"/>
    <w:rsid w:val="00EC3746"/>
    <w:rsid w:val="00EC71D2"/>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Header">
    <w:name w:val="header"/>
    <w:basedOn w:val="Normal"/>
    <w:link w:val="HeaderChar"/>
    <w:uiPriority w:val="99"/>
    <w:unhideWhenUsed/>
    <w:rsid w:val="000F496A"/>
    <w:pPr>
      <w:tabs>
        <w:tab w:val="center" w:pos="4513"/>
        <w:tab w:val="right" w:pos="9026"/>
      </w:tabs>
      <w:snapToGrid w:val="0"/>
    </w:pPr>
  </w:style>
  <w:style w:type="character" w:customStyle="1" w:styleId="HeaderChar">
    <w:name w:val="Header Char"/>
    <w:basedOn w:val="DefaultParagraphFont"/>
    <w:link w:val="Header"/>
    <w:uiPriority w:val="99"/>
    <w:rsid w:val="000F496A"/>
  </w:style>
  <w:style w:type="paragraph" w:styleId="Footer">
    <w:name w:val="footer"/>
    <w:basedOn w:val="Normal"/>
    <w:link w:val="FooterChar"/>
    <w:uiPriority w:val="99"/>
    <w:unhideWhenUsed/>
    <w:rsid w:val="000F496A"/>
    <w:pPr>
      <w:tabs>
        <w:tab w:val="center" w:pos="4513"/>
        <w:tab w:val="right" w:pos="9026"/>
      </w:tabs>
      <w:snapToGrid w:val="0"/>
    </w:pPr>
  </w:style>
  <w:style w:type="character" w:customStyle="1" w:styleId="FooterChar">
    <w:name w:val="Footer Char"/>
    <w:basedOn w:val="DefaultParagraphFont"/>
    <w:link w:val="Footer"/>
    <w:uiPriority w:val="99"/>
    <w:rsid w:val="000F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0803">
      <w:bodyDiv w:val="1"/>
      <w:marLeft w:val="0"/>
      <w:marRight w:val="0"/>
      <w:marTop w:val="0"/>
      <w:marBottom w:val="0"/>
      <w:divBdr>
        <w:top w:val="none" w:sz="0" w:space="0" w:color="auto"/>
        <w:left w:val="none" w:sz="0" w:space="0" w:color="auto"/>
        <w:bottom w:val="none" w:sz="0" w:space="0" w:color="auto"/>
        <w:right w:val="none" w:sz="0" w:space="0" w:color="auto"/>
      </w:divBdr>
    </w:div>
    <w:div w:id="991717645">
      <w:bodyDiv w:val="1"/>
      <w:marLeft w:val="0"/>
      <w:marRight w:val="0"/>
      <w:marTop w:val="0"/>
      <w:marBottom w:val="0"/>
      <w:divBdr>
        <w:top w:val="none" w:sz="0" w:space="0" w:color="auto"/>
        <w:left w:val="none" w:sz="0" w:space="0" w:color="auto"/>
        <w:bottom w:val="none" w:sz="0" w:space="0" w:color="auto"/>
        <w:right w:val="none" w:sz="0" w:space="0" w:color="auto"/>
      </w:divBdr>
    </w:div>
    <w:div w:id="10375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2425</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Zoe Keogh</cp:lastModifiedBy>
  <cp:revision>3</cp:revision>
  <cp:lastPrinted>2025-05-19T10:06:00Z</cp:lastPrinted>
  <dcterms:created xsi:type="dcterms:W3CDTF">2025-09-22T22:48:00Z</dcterms:created>
  <dcterms:modified xsi:type="dcterms:W3CDTF">2025-09-22T22:49:00Z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