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0278" w14:textId="77777777" w:rsidR="00601754" w:rsidRDefault="00601754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</w:p>
    <w:p w14:paraId="1B4B60D4" w14:textId="77777777" w:rsidR="00815DED" w:rsidRPr="008A414E" w:rsidRDefault="00815DED" w:rsidP="00815DED">
      <w:pPr>
        <w:spacing w:before="100" w:beforeAutospacing="1" w:after="100" w:afterAutospacing="1" w:line="240" w:lineRule="auto"/>
        <w:jc w:val="both"/>
        <w:rPr>
          <w:rFonts w:asciiTheme="minorBidi" w:hAnsiTheme="minorBidi"/>
          <w:b/>
          <w:bCs/>
        </w:rPr>
      </w:pPr>
      <w:bookmarkStart w:id="0" w:name="OLE_LINK1"/>
      <w:r w:rsidRPr="008A414E">
        <w:rPr>
          <w:rFonts w:asciiTheme="minorBidi" w:hAnsiTheme="minorBidi"/>
          <w:b/>
          <w:bCs/>
        </w:rPr>
        <w:t xml:space="preserve">Optimized </w:t>
      </w:r>
      <w:proofErr w:type="spellStart"/>
      <w:r w:rsidRPr="008A414E">
        <w:rPr>
          <w:rFonts w:asciiTheme="minorBidi" w:hAnsiTheme="minorBidi"/>
          <w:b/>
          <w:bCs/>
        </w:rPr>
        <w:t>IncuCyte</w:t>
      </w:r>
      <w:proofErr w:type="spellEnd"/>
      <w:r w:rsidRPr="008A414E">
        <w:rPr>
          <w:rFonts w:asciiTheme="minorBidi" w:hAnsiTheme="minorBidi"/>
          <w:b/>
          <w:bCs/>
        </w:rPr>
        <w:t>-</w:t>
      </w:r>
      <w:r>
        <w:rPr>
          <w:rFonts w:asciiTheme="minorBidi" w:hAnsiTheme="minorBidi"/>
          <w:b/>
          <w:bCs/>
        </w:rPr>
        <w:t>B</w:t>
      </w:r>
      <w:r w:rsidRPr="008A414E">
        <w:rPr>
          <w:rFonts w:asciiTheme="minorBidi" w:hAnsiTheme="minorBidi"/>
          <w:b/>
          <w:bCs/>
        </w:rPr>
        <w:t xml:space="preserve">ased </w:t>
      </w:r>
      <w:r>
        <w:rPr>
          <w:rFonts w:asciiTheme="minorBidi" w:hAnsiTheme="minorBidi"/>
          <w:b/>
          <w:bCs/>
        </w:rPr>
        <w:t xml:space="preserve">Assays </w:t>
      </w:r>
      <w:proofErr w:type="gramStart"/>
      <w:r>
        <w:rPr>
          <w:rFonts w:asciiTheme="minorBidi" w:hAnsiTheme="minorBidi"/>
          <w:b/>
          <w:bCs/>
        </w:rPr>
        <w:t>For</w:t>
      </w:r>
      <w:proofErr w:type="gramEnd"/>
      <w:r>
        <w:rPr>
          <w:rFonts w:asciiTheme="minorBidi" w:hAnsiTheme="minorBidi"/>
          <w:b/>
          <w:bCs/>
        </w:rPr>
        <w:t xml:space="preserve"> Evaluating </w:t>
      </w:r>
      <w:proofErr w:type="spellStart"/>
      <w:r>
        <w:rPr>
          <w:rFonts w:asciiTheme="minorBidi" w:hAnsiTheme="minorBidi"/>
          <w:b/>
          <w:bCs/>
        </w:rPr>
        <w:t>Nanoformulations</w:t>
      </w:r>
      <w:proofErr w:type="spellEnd"/>
      <w:r>
        <w:rPr>
          <w:rFonts w:asciiTheme="minorBidi" w:hAnsiTheme="minorBidi"/>
          <w:b/>
          <w:bCs/>
        </w:rPr>
        <w:t xml:space="preserve"> in Colorectal Cancer</w:t>
      </w:r>
    </w:p>
    <w:bookmarkEnd w:id="0"/>
    <w:p w14:paraId="76A01095" w14:textId="77777777" w:rsidR="006D6DD3" w:rsidRPr="00852EDD" w:rsidRDefault="006D6DD3" w:rsidP="006D6DD3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52EDD">
        <w:rPr>
          <w:rFonts w:asciiTheme="minorBidi" w:hAnsiTheme="minorBidi"/>
          <w:b/>
          <w:bCs/>
          <w:sz w:val="20"/>
          <w:szCs w:val="20"/>
          <w:u w:val="single"/>
        </w:rPr>
        <w:t>Srija Sur</w:t>
      </w:r>
      <w:r w:rsidRPr="00852EDD">
        <w:rPr>
          <w:rFonts w:asciiTheme="minorBidi" w:hAnsiTheme="minorBidi"/>
          <w:b/>
          <w:bCs/>
          <w:sz w:val="20"/>
          <w:szCs w:val="20"/>
          <w:u w:val="single"/>
          <w:vertAlign w:val="superscript"/>
        </w:rPr>
        <w:t>1</w:t>
      </w:r>
      <w:r w:rsidRPr="00852EDD">
        <w:rPr>
          <w:rFonts w:asciiTheme="minorBidi" w:hAnsiTheme="minorBidi"/>
          <w:sz w:val="20"/>
          <w:szCs w:val="20"/>
        </w:rPr>
        <w:t>, Ghada Aboueid</w:t>
      </w:r>
      <w:r w:rsidRPr="00852EDD">
        <w:rPr>
          <w:rFonts w:asciiTheme="minorBidi" w:hAnsiTheme="minorBidi"/>
          <w:sz w:val="20"/>
          <w:szCs w:val="20"/>
          <w:vertAlign w:val="superscript"/>
        </w:rPr>
        <w:t>1</w:t>
      </w:r>
      <w:r w:rsidRPr="00852EDD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852EDD">
        <w:rPr>
          <w:rFonts w:asciiTheme="minorBidi" w:hAnsiTheme="minorBidi"/>
          <w:sz w:val="20"/>
          <w:szCs w:val="20"/>
        </w:rPr>
        <w:t>Moien</w:t>
      </w:r>
      <w:proofErr w:type="spellEnd"/>
      <w:r w:rsidRPr="00852EDD">
        <w:rPr>
          <w:rFonts w:asciiTheme="minorBidi" w:hAnsiTheme="minorBidi"/>
          <w:sz w:val="20"/>
          <w:szCs w:val="20"/>
        </w:rPr>
        <w:t xml:space="preserve"> Sadeghi</w:t>
      </w:r>
      <w:r w:rsidRPr="00852EDD">
        <w:rPr>
          <w:rFonts w:asciiTheme="minorBidi" w:hAnsiTheme="minorBidi"/>
          <w:sz w:val="20"/>
          <w:szCs w:val="20"/>
          <w:vertAlign w:val="superscript"/>
        </w:rPr>
        <w:t>1</w:t>
      </w:r>
      <w:r w:rsidRPr="00852EDD">
        <w:rPr>
          <w:rFonts w:asciiTheme="minorBidi" w:hAnsiTheme="minorBidi"/>
          <w:sz w:val="20"/>
          <w:szCs w:val="20"/>
        </w:rPr>
        <w:t>, Pegah Varamini</w:t>
      </w:r>
      <w:r w:rsidRPr="00852EDD">
        <w:rPr>
          <w:rFonts w:asciiTheme="minorBidi" w:hAnsiTheme="minorBidi"/>
          <w:sz w:val="20"/>
          <w:szCs w:val="20"/>
          <w:vertAlign w:val="superscript"/>
        </w:rPr>
        <w:t>1,2</w:t>
      </w:r>
    </w:p>
    <w:p w14:paraId="75A90EF9" w14:textId="5A7F9CD6" w:rsidR="006D6DD3" w:rsidRPr="00852EDD" w:rsidRDefault="006D6DD3" w:rsidP="006D6DD3">
      <w:pPr>
        <w:spacing w:after="0" w:line="240" w:lineRule="auto"/>
        <w:ind w:right="-330"/>
        <w:rPr>
          <w:rFonts w:asciiTheme="minorBidi" w:hAnsiTheme="minorBidi"/>
          <w:sz w:val="20"/>
          <w:szCs w:val="20"/>
        </w:rPr>
      </w:pPr>
      <w:r w:rsidRPr="00852EDD">
        <w:rPr>
          <w:rFonts w:asciiTheme="minorBidi" w:hAnsiTheme="minorBidi"/>
          <w:sz w:val="20"/>
          <w:szCs w:val="20"/>
          <w:vertAlign w:val="superscript"/>
        </w:rPr>
        <w:t>1</w:t>
      </w:r>
      <w:r w:rsidRPr="00852EDD">
        <w:rPr>
          <w:rFonts w:asciiTheme="minorBidi" w:hAnsiTheme="minorBidi"/>
          <w:sz w:val="20"/>
          <w:szCs w:val="20"/>
        </w:rPr>
        <w:t>School of Pharmacy, Faculty of Medicine and Health, University of Sydney, Sydney, Australia</w:t>
      </w:r>
      <w:r>
        <w:rPr>
          <w:rFonts w:asciiTheme="minorBidi" w:hAnsiTheme="minorBidi"/>
          <w:sz w:val="20"/>
          <w:szCs w:val="20"/>
        </w:rPr>
        <w:t>.</w:t>
      </w:r>
    </w:p>
    <w:p w14:paraId="71B0678E" w14:textId="6CB0B553" w:rsidR="006D6DD3" w:rsidRPr="00852EDD" w:rsidRDefault="006D6DD3" w:rsidP="006D6DD3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852EDD">
        <w:rPr>
          <w:rFonts w:asciiTheme="minorBidi" w:hAnsiTheme="minorBidi"/>
          <w:sz w:val="20"/>
          <w:szCs w:val="20"/>
          <w:vertAlign w:val="superscript"/>
        </w:rPr>
        <w:t>2</w:t>
      </w:r>
      <w:r w:rsidRPr="00852EDD">
        <w:rPr>
          <w:rFonts w:asciiTheme="minorBidi" w:hAnsiTheme="minorBidi"/>
          <w:sz w:val="20"/>
          <w:szCs w:val="20"/>
        </w:rPr>
        <w:t>Sydney Nano Institute, University of Sydney, Sydney, Australia</w:t>
      </w:r>
      <w:r>
        <w:rPr>
          <w:rFonts w:asciiTheme="minorBidi" w:hAnsiTheme="minorBidi"/>
          <w:sz w:val="20"/>
          <w:szCs w:val="20"/>
        </w:rPr>
        <w:t>.</w:t>
      </w:r>
    </w:p>
    <w:p w14:paraId="1781B198" w14:textId="77777777" w:rsidR="006D6DD3" w:rsidRPr="00852EDD" w:rsidRDefault="006D6DD3" w:rsidP="006D6DD3">
      <w:pPr>
        <w:spacing w:after="0" w:line="240" w:lineRule="auto"/>
        <w:rPr>
          <w:rFonts w:asciiTheme="minorBidi" w:eastAsia="Calibri" w:hAnsiTheme="minorBidi"/>
          <w:bCs/>
          <w:kern w:val="0"/>
          <w:sz w:val="20"/>
          <w:szCs w:val="20"/>
          <w14:ligatures w14:val="none"/>
        </w:rPr>
      </w:pPr>
    </w:p>
    <w:p w14:paraId="6E514BB9" w14:textId="0605AEE1" w:rsidR="00D65243" w:rsidRPr="00852EDD" w:rsidRDefault="00D65243" w:rsidP="00D65243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</w:pPr>
      <w:r w:rsidRPr="00852EDD">
        <w:rPr>
          <w:rFonts w:asciiTheme="minorBidi" w:eastAsia="Times New Roman" w:hAnsiTheme="minorBidi"/>
          <w:b/>
          <w:bCs/>
          <w:kern w:val="0"/>
          <w:sz w:val="20"/>
          <w:szCs w:val="20"/>
          <w:lang w:eastAsia="en-GB"/>
          <w14:ligatures w14:val="none"/>
        </w:rPr>
        <w:t>Background and Aim</w:t>
      </w:r>
      <w:r>
        <w:rPr>
          <w:rFonts w:asciiTheme="minorBidi" w:eastAsia="Times New Roman" w:hAnsiTheme="minorBidi"/>
          <w:b/>
          <w:bCs/>
          <w:kern w:val="0"/>
          <w:sz w:val="20"/>
          <w:szCs w:val="20"/>
          <w:lang w:eastAsia="en-GB"/>
          <w14:ligatures w14:val="none"/>
        </w:rPr>
        <w:t>.</w:t>
      </w:r>
      <w:r w:rsidRPr="00852EDD">
        <w:rPr>
          <w:rFonts w:asciiTheme="minorBidi" w:eastAsia="Times New Roman" w:hAnsiTheme="minorBidi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Nanoformulations</w:t>
      </w:r>
      <w:proofErr w:type="spellEnd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offer a promising alternative by improving drug targeting and reducing side effects. The </w:t>
      </w:r>
      <w:proofErr w:type="spellStart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IncuCyte</w:t>
      </w:r>
      <w:proofErr w:type="spellEnd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Live-Cell Analysis System supports preclinical studies by tracking real-time cell behaviour. However, its use in evaluating </w:t>
      </w:r>
      <w:proofErr w:type="spellStart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nanoformulations</w:t>
      </w:r>
      <w:proofErr w:type="spellEnd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is limited due to the absence of standardized protocols, highlighting the need for methodology development for nanomedicine advancement.</w:t>
      </w:r>
      <w:r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</w:t>
      </w:r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This study aims to develop a robust method for evaluating the cellular uptake and </w:t>
      </w:r>
      <w:r w:rsidRPr="00852EDD">
        <w:rPr>
          <w:rFonts w:asciiTheme="minorBidi" w:eastAsia="Times New Roman" w:hAnsiTheme="minorBidi"/>
          <w:i/>
          <w:iCs/>
          <w:kern w:val="0"/>
          <w:sz w:val="20"/>
          <w:szCs w:val="20"/>
          <w:lang w:eastAsia="en-GB"/>
          <w14:ligatures w14:val="none"/>
        </w:rPr>
        <w:t>in vitro</w:t>
      </w:r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anti-proliferative activity of targeted and non-targeted curcumin-loaded </w:t>
      </w:r>
      <w:proofErr w:type="spellStart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nanoformulations</w:t>
      </w:r>
      <w:proofErr w:type="spellEnd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for C</w:t>
      </w:r>
      <w:r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olorectal cancer (CRC)</w:t>
      </w:r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. The targeted formulations include curcumin nanoparticles conjugated with luteinizing hormone-releasing hormone (LHRH) derivatives 1 (Cur-NP-LHRH-D1) and 2 (Cur-NP-LHRH-D2). </w:t>
      </w:r>
    </w:p>
    <w:p w14:paraId="3FD2F975" w14:textId="1B0200B3" w:rsidR="00D65243" w:rsidRPr="00852EDD" w:rsidRDefault="00D65243" w:rsidP="00D65243">
      <w:pPr>
        <w:spacing w:before="100" w:beforeAutospacing="1" w:after="100" w:afterAutospacing="1" w:line="240" w:lineRule="auto"/>
        <w:jc w:val="both"/>
        <w:outlineLvl w:val="2"/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</w:pPr>
      <w:r w:rsidRPr="00852EDD">
        <w:rPr>
          <w:rFonts w:asciiTheme="minorBidi" w:eastAsia="Times New Roman" w:hAnsiTheme="minorBidi"/>
          <w:b/>
          <w:bCs/>
          <w:kern w:val="0"/>
          <w:sz w:val="20"/>
          <w:szCs w:val="20"/>
          <w:lang w:eastAsia="en-GB"/>
          <w14:ligatures w14:val="none"/>
        </w:rPr>
        <w:t>Method</w:t>
      </w:r>
      <w:r>
        <w:rPr>
          <w:rFonts w:asciiTheme="minorBidi" w:eastAsia="Times New Roman" w:hAnsiTheme="minorBidi"/>
          <w:b/>
          <w:bCs/>
          <w:kern w:val="0"/>
          <w:sz w:val="20"/>
          <w:szCs w:val="20"/>
          <w:lang w:eastAsia="en-GB"/>
          <w14:ligatures w14:val="none"/>
        </w:rPr>
        <w:t>.</w:t>
      </w:r>
      <w:r w:rsidRPr="00852EDD">
        <w:rPr>
          <w:rFonts w:asciiTheme="minorBidi" w:eastAsia="Times New Roman" w:hAnsiTheme="minorBidi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Live-cell imaging using </w:t>
      </w:r>
      <w:proofErr w:type="spellStart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IncuCyte</w:t>
      </w:r>
      <w:proofErr w:type="spellEnd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® ZOOM was employed to quantify </w:t>
      </w:r>
      <w:proofErr w:type="spellStart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nanoformulation</w:t>
      </w:r>
      <w:proofErr w:type="spellEnd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uptake by CRC cells over 48 hours. </w:t>
      </w:r>
      <w:r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Masking f</w:t>
      </w:r>
      <w:r w:rsidRPr="003F3B21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luorescence</w:t>
      </w:r>
      <w:r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imaging</w:t>
      </w:r>
      <w:r w:rsidRPr="003F3B21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enabled selective quantification of curcumin, excluding background signals.</w:t>
      </w:r>
    </w:p>
    <w:p w14:paraId="1BB8E415" w14:textId="089DCA40" w:rsidR="00D65243" w:rsidRDefault="00D65243" w:rsidP="00D65243">
      <w:pPr>
        <w:spacing w:before="100" w:beforeAutospacing="1" w:after="100" w:afterAutospacing="1" w:line="240" w:lineRule="auto"/>
        <w:jc w:val="both"/>
        <w:outlineLvl w:val="2"/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</w:pPr>
      <w:r w:rsidRPr="00852EDD">
        <w:rPr>
          <w:rFonts w:asciiTheme="minorBidi" w:eastAsia="Times New Roman" w:hAnsiTheme="minorBidi"/>
          <w:b/>
          <w:bCs/>
          <w:kern w:val="0"/>
          <w:sz w:val="20"/>
          <w:szCs w:val="20"/>
          <w:lang w:eastAsia="en-GB"/>
          <w14:ligatures w14:val="none"/>
        </w:rPr>
        <w:t>Results</w:t>
      </w:r>
      <w:r>
        <w:rPr>
          <w:rFonts w:asciiTheme="minorBidi" w:eastAsia="Times New Roman" w:hAnsiTheme="minorBidi"/>
          <w:b/>
          <w:bCs/>
          <w:kern w:val="0"/>
          <w:sz w:val="20"/>
          <w:szCs w:val="20"/>
          <w:lang w:eastAsia="en-GB"/>
          <w14:ligatures w14:val="none"/>
        </w:rPr>
        <w:t>.</w:t>
      </w:r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Targeted </w:t>
      </w:r>
      <w:proofErr w:type="spellStart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nanoformulations</w:t>
      </w:r>
      <w:proofErr w:type="spellEnd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showed greater curcumin uptake, validated by confocal immunohistochemistry</w:t>
      </w:r>
      <w:r w:rsidRPr="00852EDD" w:rsidDel="00C572A3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</w:t>
      </w:r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imaging, with a higher fluorescence confluence (5500 GCU × μm², 100 </w:t>
      </w:r>
      <w:proofErr w:type="spellStart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μM</w:t>
      </w:r>
      <w:proofErr w:type="spellEnd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curcumin) than non-targeted formulations (4500 GCU × μm²) over 48 hours. At 2 hours, Caco-2 cells</w:t>
      </w:r>
      <w:r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(Figure 1)</w:t>
      </w:r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exhibited a higher fluorescence intensity than HCT-116</w:t>
      </w:r>
      <w:r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(Figure 2)</w:t>
      </w:r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, demonstrating LHRH-R-mediated targeting efficiency. The MTT assay further confirmed greater cytotoxicity of targeted </w:t>
      </w:r>
      <w:proofErr w:type="spellStart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nanoformulation</w:t>
      </w:r>
      <w:r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>s</w:t>
      </w:r>
      <w:proofErr w:type="spellEnd"/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, showing a rapid cell viability decline at lower drug concentrations, reinforcing improved therapeutic efficacy through LHRH-targeted delivery. </w:t>
      </w:r>
    </w:p>
    <w:p w14:paraId="568F6725" w14:textId="77777777" w:rsidR="007508AF" w:rsidRDefault="007508AF" w:rsidP="007508AF">
      <w:pPr>
        <w:spacing w:before="100" w:beforeAutospacing="1" w:after="100" w:afterAutospacing="1" w:line="240" w:lineRule="auto"/>
        <w:jc w:val="both"/>
        <w:outlineLvl w:val="2"/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</w:pPr>
    </w:p>
    <w:p w14:paraId="5674D753" w14:textId="77777777" w:rsidR="007508AF" w:rsidRDefault="007508AF" w:rsidP="007508AF">
      <w:pPr>
        <w:spacing w:before="100" w:beforeAutospacing="1" w:after="100" w:afterAutospacing="1" w:line="240" w:lineRule="auto"/>
        <w:jc w:val="both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eastAsia="en-GB"/>
          <w14:ligatures w14:val="none"/>
        </w:rPr>
      </w:pPr>
      <w:r w:rsidRPr="008B3F25">
        <w:rPr>
          <w:rFonts w:asciiTheme="minorBidi" w:eastAsia="Times New Roman" w:hAnsiTheme="minorBidi"/>
          <w:b/>
          <w:bCs/>
          <w:noProof/>
          <w:kern w:val="0"/>
          <w:sz w:val="20"/>
          <w:szCs w:val="2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B0012" wp14:editId="118E662B">
                <wp:simplePos x="0" y="0"/>
                <wp:positionH relativeFrom="column">
                  <wp:posOffset>2861945</wp:posOffset>
                </wp:positionH>
                <wp:positionV relativeFrom="paragraph">
                  <wp:posOffset>1693545</wp:posOffset>
                </wp:positionV>
                <wp:extent cx="2369185" cy="1404620"/>
                <wp:effectExtent l="0" t="0" r="12065" b="12065"/>
                <wp:wrapSquare wrapText="bothSides"/>
                <wp:docPr id="1161839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F0E91" w14:textId="77777777" w:rsidR="007508AF" w:rsidRDefault="007508AF" w:rsidP="007508AF"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Figure 2. </w:t>
                            </w:r>
                            <w:r>
                              <w:rPr>
                                <w:rFonts w:asciiTheme="minorBidi" w:eastAsia="Times New Roman" w:hAnsiTheme="minorBid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F</w:t>
                            </w:r>
                            <w:r w:rsidRPr="00852EDD">
                              <w:rPr>
                                <w:rFonts w:asciiTheme="minorBidi" w:eastAsia="Times New Roman" w:hAnsiTheme="minorBid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luorescence</w:t>
                            </w:r>
                            <w:r>
                              <w:rPr>
                                <w:rFonts w:asciiTheme="minorBidi" w:eastAsia="Times New Roman" w:hAnsiTheme="minorBid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852EDD">
                              <w:rPr>
                                <w:rFonts w:asciiTheme="minorBidi" w:eastAsia="Times New Roman" w:hAnsiTheme="minorBid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confluence</w:t>
                            </w:r>
                            <w:r>
                              <w:rPr>
                                <w:rFonts w:asciiTheme="minorBidi" w:eastAsia="Times New Roman" w:hAnsiTheme="minorBid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of HCC-116 cells.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8B0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35pt;margin-top:133.35pt;width:186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">
                <v:textbox style="mso-fit-shape-to-text:t">
                  <w:txbxContent>
                    <w:p w14:paraId="0F6F0E91" w14:textId="77777777" w:rsidR="007508AF" w:rsidRDefault="007508AF" w:rsidP="007508AF">
                      <w:r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Figure 2. </w:t>
                      </w:r>
                      <w:r>
                        <w:rPr>
                          <w:rFonts w:asciiTheme="minorBidi" w:eastAsia="Times New Roman" w:hAnsiTheme="minorBid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F</w:t>
                      </w:r>
                      <w:r w:rsidRPr="00852EDD">
                        <w:rPr>
                          <w:rFonts w:asciiTheme="minorBidi" w:eastAsia="Times New Roman" w:hAnsiTheme="minorBid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luorescence</w:t>
                      </w:r>
                      <w:r>
                        <w:rPr>
                          <w:rFonts w:asciiTheme="minorBidi" w:eastAsia="Times New Roman" w:hAnsiTheme="minorBid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852EDD">
                        <w:rPr>
                          <w:rFonts w:asciiTheme="minorBidi" w:eastAsia="Times New Roman" w:hAnsiTheme="minorBid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confluence</w:t>
                      </w:r>
                      <w:r>
                        <w:rPr>
                          <w:rFonts w:asciiTheme="minorBidi" w:eastAsia="Times New Roman" w:hAnsiTheme="minorBid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of HCC-116 cells.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</w:t>
      </w:r>
      <w:r>
        <w:object w:dxaOrig="8400" w:dyaOrig="5011" w14:anchorId="3F0354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5pt;height:119.25pt" o:ole="">
            <v:imagedata r:id="rId8" o:title=""/>
          </v:shape>
          <o:OLEObject Type="Embed" ProgID="Prism10.Document" ShapeID="_x0000_i1025" DrawAspect="Content" ObjectID="_1810141880" r:id="rId9"/>
        </w:object>
      </w:r>
      <w:r w:rsidRPr="003140B3">
        <w:rPr>
          <w:rFonts w:eastAsiaTheme="minorEastAsia"/>
          <w:lang w:val="en-IN" w:eastAsia="en-IN"/>
        </w:rPr>
        <w:t xml:space="preserve"> </w:t>
      </w:r>
      <w:r w:rsidRPr="003140B3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object w:dxaOrig="9110" w:dyaOrig="5487" w14:anchorId="7DCF2944">
          <v:shape id="_x0000_i1026" type="#_x0000_t75" style="width:194.5pt;height:117.15pt" o:ole="">
            <v:imagedata r:id="rId10" o:title=""/>
          </v:shape>
          <o:OLEObject Type="Embed" ProgID="Prism10.Document" ShapeID="_x0000_i1026" DrawAspect="Content" ObjectID="_1810141881" r:id="rId11"/>
        </w:object>
      </w:r>
    </w:p>
    <w:p w14:paraId="5B755FAC" w14:textId="77777777" w:rsidR="007508AF" w:rsidRPr="00852EDD" w:rsidRDefault="007508AF" w:rsidP="007508AF">
      <w:pPr>
        <w:spacing w:before="100" w:beforeAutospacing="1" w:after="100" w:afterAutospacing="1" w:line="240" w:lineRule="auto"/>
        <w:jc w:val="both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eastAsia="en-GB"/>
          <w14:ligatures w14:val="none"/>
        </w:rPr>
      </w:pPr>
      <w:r w:rsidRPr="008B3F25">
        <w:rPr>
          <w:rFonts w:asciiTheme="minorBidi" w:eastAsia="Times New Roman" w:hAnsiTheme="minorBidi"/>
          <w:b/>
          <w:bCs/>
          <w:noProof/>
          <w:kern w:val="0"/>
          <w:sz w:val="20"/>
          <w:szCs w:val="2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F238DE" wp14:editId="4D7C6DCC">
                <wp:simplePos x="0" y="0"/>
                <wp:positionH relativeFrom="column">
                  <wp:posOffset>150495</wp:posOffset>
                </wp:positionH>
                <wp:positionV relativeFrom="paragraph">
                  <wp:posOffset>8890</wp:posOffset>
                </wp:positionV>
                <wp:extent cx="2353310" cy="1404620"/>
                <wp:effectExtent l="0" t="0" r="2794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F5E9E" w14:textId="77777777" w:rsidR="007508AF" w:rsidRDefault="007508AF" w:rsidP="007508AF"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Figure 1. </w:t>
                            </w:r>
                            <w:r>
                              <w:rPr>
                                <w:rFonts w:asciiTheme="minorBidi" w:eastAsia="Times New Roman" w:hAnsiTheme="minorBid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F</w:t>
                            </w:r>
                            <w:r w:rsidRPr="00852EDD">
                              <w:rPr>
                                <w:rFonts w:asciiTheme="minorBidi" w:eastAsia="Times New Roman" w:hAnsiTheme="minorBid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luorescence</w:t>
                            </w:r>
                            <w:r>
                              <w:rPr>
                                <w:rFonts w:asciiTheme="minorBidi" w:eastAsia="Times New Roman" w:hAnsiTheme="minorBid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852EDD">
                              <w:rPr>
                                <w:rFonts w:asciiTheme="minorBidi" w:eastAsia="Times New Roman" w:hAnsiTheme="minorBid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confluence</w:t>
                            </w:r>
                            <w:r>
                              <w:rPr>
                                <w:rFonts w:asciiTheme="minorBidi" w:eastAsia="Times New Roman" w:hAnsiTheme="minorBid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of Caco-2 cells.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F238DE" id="_x0000_s1027" type="#_x0000_t202" style="position:absolute;left:0;text-align:left;margin-left:11.85pt;margin-top:.7pt;width:18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">
                <v:textbox style="mso-fit-shape-to-text:t">
                  <w:txbxContent>
                    <w:p w14:paraId="205F5E9E" w14:textId="77777777" w:rsidR="007508AF" w:rsidRDefault="007508AF" w:rsidP="007508AF">
                      <w:r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Figure 1. </w:t>
                      </w:r>
                      <w:r>
                        <w:rPr>
                          <w:rFonts w:asciiTheme="minorBidi" w:eastAsia="Times New Roman" w:hAnsiTheme="minorBid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F</w:t>
                      </w:r>
                      <w:r w:rsidRPr="00852EDD">
                        <w:rPr>
                          <w:rFonts w:asciiTheme="minorBidi" w:eastAsia="Times New Roman" w:hAnsiTheme="minorBid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luorescence</w:t>
                      </w:r>
                      <w:r>
                        <w:rPr>
                          <w:rFonts w:asciiTheme="minorBidi" w:eastAsia="Times New Roman" w:hAnsiTheme="minorBid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852EDD">
                        <w:rPr>
                          <w:rFonts w:asciiTheme="minorBidi" w:eastAsia="Times New Roman" w:hAnsiTheme="minorBid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confluence</w:t>
                      </w:r>
                      <w:r>
                        <w:rPr>
                          <w:rFonts w:asciiTheme="minorBidi" w:eastAsia="Times New Roman" w:hAnsiTheme="minorBid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of Caco-2 cells.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EDD">
        <w:rPr>
          <w:rFonts w:asciiTheme="minorBidi" w:eastAsia="Times New Roman" w:hAnsiTheme="minorBidi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0E41F21" w14:textId="77777777" w:rsidR="007508AF" w:rsidRDefault="007508AF" w:rsidP="007508AF">
      <w:pPr>
        <w:jc w:val="both"/>
        <w:rPr>
          <w:rFonts w:asciiTheme="minorBidi" w:hAnsiTheme="minorBidi"/>
          <w:b/>
          <w:bCs/>
          <w:sz w:val="20"/>
          <w:szCs w:val="20"/>
        </w:rPr>
      </w:pPr>
    </w:p>
    <w:p w14:paraId="777A9E0F" w14:textId="14247D1A" w:rsidR="2021B9E9" w:rsidRDefault="2021B9E9" w:rsidP="2021B9E9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</w:p>
    <w:p w14:paraId="37012700" w14:textId="2864A768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AFD5313" w14:textId="77777777" w:rsidR="008D6730" w:rsidRPr="00D1110B" w:rsidRDefault="008D6730" w:rsidP="008D6730">
      <w:pPr>
        <w:jc w:val="both"/>
        <w:rPr>
          <w:rFonts w:asciiTheme="minorBidi" w:hAnsiTheme="minorBidi"/>
          <w:b/>
          <w:bCs/>
          <w:sz w:val="20"/>
          <w:szCs w:val="20"/>
        </w:rPr>
      </w:pPr>
      <w:r w:rsidRPr="00D1110B">
        <w:rPr>
          <w:rFonts w:asciiTheme="minorBidi" w:hAnsiTheme="minorBidi"/>
          <w:b/>
          <w:bCs/>
          <w:sz w:val="20"/>
          <w:szCs w:val="20"/>
        </w:rPr>
        <w:t xml:space="preserve">Conclusion: </w:t>
      </w:r>
      <w:r w:rsidRPr="00D1110B">
        <w:rPr>
          <w:rFonts w:asciiTheme="minorBidi" w:hAnsiTheme="minorBidi"/>
          <w:sz w:val="20"/>
          <w:szCs w:val="20"/>
        </w:rPr>
        <w:t xml:space="preserve">LHRH-targeted </w:t>
      </w:r>
      <w:proofErr w:type="spellStart"/>
      <w:r w:rsidRPr="00D1110B">
        <w:rPr>
          <w:rFonts w:asciiTheme="minorBidi" w:hAnsiTheme="minorBidi"/>
          <w:sz w:val="20"/>
          <w:szCs w:val="20"/>
        </w:rPr>
        <w:t>nanoformulations</w:t>
      </w:r>
      <w:proofErr w:type="spellEnd"/>
      <w:r w:rsidRPr="00D1110B">
        <w:rPr>
          <w:rFonts w:asciiTheme="minorBidi" w:hAnsiTheme="minorBidi"/>
          <w:sz w:val="20"/>
          <w:szCs w:val="20"/>
        </w:rPr>
        <w:t xml:space="preserve"> demonstrated enhanced curcumin uptake and greater cytotoxicity in colorectal cancer cells, correlating with LHRH receptor expression levels. This validation supports </w:t>
      </w:r>
      <w:proofErr w:type="spellStart"/>
      <w:r w:rsidRPr="00D1110B">
        <w:rPr>
          <w:rFonts w:asciiTheme="minorBidi" w:hAnsiTheme="minorBidi"/>
          <w:sz w:val="20"/>
          <w:szCs w:val="20"/>
        </w:rPr>
        <w:t>IncuCyte</w:t>
      </w:r>
      <w:proofErr w:type="spellEnd"/>
      <w:r w:rsidRPr="00D1110B">
        <w:rPr>
          <w:rFonts w:asciiTheme="minorBidi" w:hAnsiTheme="minorBidi"/>
          <w:sz w:val="20"/>
          <w:szCs w:val="20"/>
        </w:rPr>
        <w:t xml:space="preserve"> as a reliable tool for real-time evaluation of targeted drug delivery in </w:t>
      </w:r>
      <w:r>
        <w:rPr>
          <w:rFonts w:asciiTheme="minorBidi" w:hAnsiTheme="minorBidi"/>
          <w:sz w:val="20"/>
          <w:szCs w:val="20"/>
        </w:rPr>
        <w:t>CRC</w:t>
      </w:r>
      <w:r w:rsidRPr="00D1110B">
        <w:rPr>
          <w:rFonts w:asciiTheme="minorBidi" w:hAnsiTheme="minorBidi"/>
          <w:sz w:val="20"/>
          <w:szCs w:val="20"/>
        </w:rPr>
        <w:t xml:space="preserve"> treatment.</w:t>
      </w:r>
    </w:p>
    <w:p w14:paraId="15EB0532" w14:textId="19D0DC32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5D65706F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sectPr w:rsidR="00C31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53796"/>
    <w:rsid w:val="00107368"/>
    <w:rsid w:val="00113BB7"/>
    <w:rsid w:val="002017E6"/>
    <w:rsid w:val="00264702"/>
    <w:rsid w:val="00294059"/>
    <w:rsid w:val="003206E4"/>
    <w:rsid w:val="003A6D5C"/>
    <w:rsid w:val="004A51B6"/>
    <w:rsid w:val="00510CF8"/>
    <w:rsid w:val="00575A29"/>
    <w:rsid w:val="00601754"/>
    <w:rsid w:val="006A34BE"/>
    <w:rsid w:val="006D6DD3"/>
    <w:rsid w:val="006F3F1C"/>
    <w:rsid w:val="007141F2"/>
    <w:rsid w:val="007508AF"/>
    <w:rsid w:val="007561D8"/>
    <w:rsid w:val="00795378"/>
    <w:rsid w:val="00796206"/>
    <w:rsid w:val="007C367E"/>
    <w:rsid w:val="007F2F25"/>
    <w:rsid w:val="008071C5"/>
    <w:rsid w:val="00815DED"/>
    <w:rsid w:val="008D6730"/>
    <w:rsid w:val="00906D34"/>
    <w:rsid w:val="00933DC9"/>
    <w:rsid w:val="00936D4C"/>
    <w:rsid w:val="009523F9"/>
    <w:rsid w:val="009650DF"/>
    <w:rsid w:val="009B1CBB"/>
    <w:rsid w:val="00A0516D"/>
    <w:rsid w:val="00B4721D"/>
    <w:rsid w:val="00B8473A"/>
    <w:rsid w:val="00C21815"/>
    <w:rsid w:val="00C315D2"/>
    <w:rsid w:val="00C353D8"/>
    <w:rsid w:val="00CF5A91"/>
    <w:rsid w:val="00D02BB1"/>
    <w:rsid w:val="00D45A74"/>
    <w:rsid w:val="00D65243"/>
    <w:rsid w:val="00D7428F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Srija Sur</cp:lastModifiedBy>
  <cp:revision>9</cp:revision>
  <dcterms:created xsi:type="dcterms:W3CDTF">2025-03-11T02:17:00Z</dcterms:created>
  <dcterms:modified xsi:type="dcterms:W3CDTF">2025-05-30T10:25:00Z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