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9A33" w14:textId="77777777" w:rsidR="00894239" w:rsidRDefault="00894239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</w:p>
    <w:p w14:paraId="5F19F890" w14:textId="1D92CE94" w:rsidR="00711813" w:rsidRPr="004E5450" w:rsidRDefault="00533954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533954">
        <w:rPr>
          <w:rFonts w:ascii="Calibri" w:hAnsi="Calibri" w:cs="Calibri"/>
          <w:b/>
          <w:sz w:val="20"/>
          <w:szCs w:val="20"/>
          <w:lang w:val="en-AU"/>
        </w:rPr>
        <w:t>Reduced serum urate concentrations despite unchanged allopurinol dosing</w:t>
      </w:r>
      <w:r w:rsidR="006F6D92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6F6D92" w:rsidRPr="006F6D92">
        <w:rPr>
          <w:rFonts w:ascii="Calibri" w:hAnsi="Calibri" w:cs="Calibri"/>
          <w:b/>
          <w:sz w:val="20"/>
          <w:szCs w:val="20"/>
          <w:lang w:val="en-AU"/>
        </w:rPr>
        <w:t>in gout patients commencing dialysis</w:t>
      </w:r>
    </w:p>
    <w:p w14:paraId="0261A148" w14:textId="551B4A80" w:rsidR="00711813" w:rsidRPr="004E5450" w:rsidRDefault="00147AF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Noha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Kamel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71C67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D7BFD">
        <w:rPr>
          <w:rFonts w:ascii="Calibri" w:hAnsi="Calibri" w:cs="Calibri"/>
          <w:sz w:val="20"/>
          <w:szCs w:val="20"/>
          <w:lang w:val="en-AU"/>
        </w:rPr>
        <w:t>Ronald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843B7">
        <w:rPr>
          <w:rFonts w:ascii="Calibri" w:hAnsi="Calibri" w:cs="Calibri"/>
          <w:sz w:val="20"/>
          <w:szCs w:val="20"/>
          <w:lang w:val="en-AU"/>
        </w:rPr>
        <w:t>Castelino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</w:t>
      </w:r>
      <w:r w:rsidR="009843B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526F41">
        <w:rPr>
          <w:rFonts w:ascii="Calibri" w:hAnsi="Calibri" w:cs="Calibri"/>
          <w:sz w:val="20"/>
          <w:szCs w:val="20"/>
          <w:lang w:val="en-AU"/>
        </w:rPr>
        <w:t>, Daniel Wright</w:t>
      </w:r>
      <w:r w:rsidR="00907D54" w:rsidRPr="00A66EB1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66EB1">
        <w:rPr>
          <w:rFonts w:ascii="Calibri" w:hAnsi="Calibri" w:cs="Calibri"/>
          <w:sz w:val="20"/>
          <w:szCs w:val="20"/>
          <w:lang w:val="en-AU"/>
        </w:rPr>
        <w:t>, Kamal Sud</w:t>
      </w:r>
      <w:r w:rsidR="00217371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9318C4">
        <w:rPr>
          <w:rFonts w:ascii="Calibri" w:hAnsi="Calibri" w:cs="Calibri"/>
          <w:sz w:val="20"/>
          <w:szCs w:val="20"/>
          <w:lang w:val="en-AU"/>
        </w:rPr>
        <w:t>, Surjit</w:t>
      </w:r>
      <w:r w:rsidR="00331AA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18C4">
        <w:rPr>
          <w:rFonts w:ascii="Calibri" w:hAnsi="Calibri" w:cs="Calibri"/>
          <w:sz w:val="20"/>
          <w:szCs w:val="20"/>
          <w:lang w:val="en-AU"/>
        </w:rPr>
        <w:t>Tarafdar</w:t>
      </w:r>
      <w:r w:rsidR="00217371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6F200A">
        <w:rPr>
          <w:rFonts w:ascii="Calibri" w:hAnsi="Calibri" w:cs="Calibri"/>
          <w:sz w:val="20"/>
          <w:szCs w:val="20"/>
          <w:lang w:val="en-AU"/>
        </w:rPr>
        <w:t>, Stephen Hughes</w:t>
      </w:r>
      <w:r w:rsidR="006F200A" w:rsidRPr="006F200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BE7668">
        <w:rPr>
          <w:rFonts w:ascii="Calibri" w:hAnsi="Calibri" w:cs="Calibri"/>
          <w:sz w:val="20"/>
          <w:szCs w:val="20"/>
          <w:lang w:val="en-AU"/>
        </w:rPr>
        <w:t>, Sophie Stocker</w:t>
      </w:r>
      <w:r w:rsidR="00BE7668" w:rsidRPr="00BE766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92DF3" w:rsidRPr="00092DF3">
        <w:rPr>
          <w:rFonts w:ascii="Calibri" w:hAnsi="Calibri" w:cs="Calibri"/>
          <w:sz w:val="20"/>
          <w:szCs w:val="20"/>
          <w:lang w:val="en-AU"/>
        </w:rPr>
        <w:t>Sch. of Pharmacy, FMH, Univ. of Sydney</w:t>
      </w:r>
      <w:r w:rsidR="00092DF3" w:rsidRPr="00B9171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92DF3" w:rsidRPr="00092DF3">
        <w:rPr>
          <w:rFonts w:ascii="Calibri" w:hAnsi="Calibri" w:cs="Calibri"/>
          <w:sz w:val="20"/>
          <w:szCs w:val="20"/>
          <w:lang w:val="en-AU"/>
        </w:rPr>
        <w:t>, NSW, AUS; Clin. Pharm. &amp; Pharm. Pract. Dept., Fac. of Pharm., Mans. Univ.</w:t>
      </w:r>
      <w:r w:rsidR="00092DF3" w:rsidRPr="00B9171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092DF3" w:rsidRPr="00092DF3">
        <w:rPr>
          <w:rFonts w:ascii="Calibri" w:hAnsi="Calibri" w:cs="Calibri"/>
          <w:sz w:val="20"/>
          <w:szCs w:val="20"/>
          <w:lang w:val="en-AU"/>
        </w:rPr>
        <w:t>, Mans., Egypt; Pharm. Dept., Blacktown Hosp.</w:t>
      </w:r>
      <w:r w:rsidR="00092DF3" w:rsidRPr="00B91714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092DF3" w:rsidRPr="00092DF3">
        <w:rPr>
          <w:rFonts w:ascii="Calibri" w:hAnsi="Calibri" w:cs="Calibri"/>
          <w:sz w:val="20"/>
          <w:szCs w:val="20"/>
          <w:lang w:val="en-AU"/>
        </w:rPr>
        <w:t>, NSW, AUS; Kid. Research Cent., Renal Med. Dept., Nepean Hosp.</w:t>
      </w:r>
      <w:r w:rsidR="00092DF3" w:rsidRPr="00B91714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092DF3" w:rsidRPr="00092DF3">
        <w:rPr>
          <w:rFonts w:ascii="Calibri" w:hAnsi="Calibri" w:cs="Calibri"/>
          <w:sz w:val="20"/>
          <w:szCs w:val="20"/>
          <w:lang w:val="en-AU"/>
        </w:rPr>
        <w:t>, NSW, AUS; Nephrol. Dept., Blacktown Hosp.</w:t>
      </w:r>
      <w:r w:rsidR="00092DF3" w:rsidRPr="00B91714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092DF3" w:rsidRPr="00092DF3">
        <w:rPr>
          <w:rFonts w:ascii="Calibri" w:hAnsi="Calibri" w:cs="Calibri"/>
          <w:sz w:val="20"/>
          <w:szCs w:val="20"/>
          <w:lang w:val="en-AU"/>
        </w:rPr>
        <w:t>, NSW, AUS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674E905" w14:textId="1D8C7C1D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7E1C68EA" w14:textId="296CFBE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91F44" w:rsidRPr="00F91F44">
        <w:rPr>
          <w:rFonts w:ascii="Calibri" w:hAnsi="Calibri" w:cs="Calibri"/>
          <w:sz w:val="20"/>
          <w:szCs w:val="20"/>
          <w:lang w:val="en-AU"/>
        </w:rPr>
        <w:t xml:space="preserve">Acute gout causes significant morbidity in patients receiving dialysis. Although both oxypurinol (allopurinol’s active metabolite) and urate are dialysable, it is unclear if target serum urate concentrations (&lt;0.36 mmol/L) are achieved in these patients. </w:t>
      </w:r>
    </w:p>
    <w:p w14:paraId="22F1D2C5" w14:textId="77CBEF7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B6F1B" w:rsidRPr="009B6F1B">
        <w:rPr>
          <w:rFonts w:ascii="Calibri" w:hAnsi="Calibri" w:cs="Calibri"/>
          <w:sz w:val="20"/>
          <w:szCs w:val="20"/>
          <w:lang w:val="en-AU"/>
        </w:rPr>
        <w:t>To evaluate allopurinol dosing practices and serum urate concentrations in patients with gout on dialysis.</w:t>
      </w:r>
    </w:p>
    <w:p w14:paraId="322F897D" w14:textId="427A294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3F1C1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F1C1C" w:rsidRPr="003F1C1C">
        <w:rPr>
          <w:rFonts w:ascii="Calibri" w:hAnsi="Calibri" w:cs="Calibri"/>
          <w:sz w:val="20"/>
          <w:szCs w:val="20"/>
          <w:lang w:val="en-AU"/>
        </w:rPr>
        <w:t xml:space="preserve">Adults prescribed allopurinol, receiving dialysis between 1/6/2019 and 30/6/2024, with serum urate </w:t>
      </w:r>
      <w:r w:rsidR="00CE0EB8">
        <w:rPr>
          <w:rFonts w:ascii="Calibri" w:hAnsi="Calibri" w:cs="Calibri"/>
          <w:sz w:val="20"/>
          <w:szCs w:val="20"/>
          <w:lang w:val="en-AU"/>
        </w:rPr>
        <w:t xml:space="preserve">concentrations </w:t>
      </w:r>
      <w:r w:rsidR="003F1C1C" w:rsidRPr="003F1C1C">
        <w:rPr>
          <w:rFonts w:ascii="Calibri" w:hAnsi="Calibri" w:cs="Calibri"/>
          <w:sz w:val="20"/>
          <w:szCs w:val="20"/>
          <w:lang w:val="en-AU"/>
        </w:rPr>
        <w:t xml:space="preserve">documented were included. </w:t>
      </w:r>
      <w:r w:rsidR="00D92223">
        <w:rPr>
          <w:rFonts w:ascii="Calibri" w:hAnsi="Calibri" w:cs="Calibri"/>
          <w:sz w:val="20"/>
          <w:szCs w:val="20"/>
          <w:lang w:val="en-AU"/>
        </w:rPr>
        <w:t>Clinical d</w:t>
      </w:r>
      <w:r w:rsidR="003F1C1C" w:rsidRPr="003F1C1C">
        <w:rPr>
          <w:rFonts w:ascii="Calibri" w:hAnsi="Calibri" w:cs="Calibri"/>
          <w:sz w:val="20"/>
          <w:szCs w:val="20"/>
          <w:lang w:val="en-AU"/>
        </w:rPr>
        <w:t xml:space="preserve">ata was collected longitudinally </w:t>
      </w:r>
      <w:r w:rsidR="00226CB7">
        <w:rPr>
          <w:rFonts w:ascii="Calibri" w:hAnsi="Calibri" w:cs="Calibri"/>
          <w:sz w:val="20"/>
          <w:szCs w:val="20"/>
          <w:lang w:val="en-AU"/>
        </w:rPr>
        <w:t>(o</w:t>
      </w:r>
      <w:r w:rsidR="003F1C1C" w:rsidRPr="003F1C1C">
        <w:rPr>
          <w:rFonts w:ascii="Calibri" w:hAnsi="Calibri" w:cs="Calibri"/>
          <w:sz w:val="20"/>
          <w:szCs w:val="20"/>
          <w:lang w:val="en-AU"/>
        </w:rPr>
        <w:t xml:space="preserve">ne year before </w:t>
      </w:r>
      <w:r w:rsidR="004A3990">
        <w:rPr>
          <w:rFonts w:ascii="Calibri" w:hAnsi="Calibri" w:cs="Calibri"/>
          <w:sz w:val="20"/>
          <w:szCs w:val="20"/>
          <w:lang w:val="en-AU"/>
        </w:rPr>
        <w:t xml:space="preserve">commencing </w:t>
      </w:r>
      <w:r w:rsidR="003F1C1C" w:rsidRPr="003F1C1C">
        <w:rPr>
          <w:rFonts w:ascii="Calibri" w:hAnsi="Calibri" w:cs="Calibri"/>
          <w:sz w:val="20"/>
          <w:szCs w:val="20"/>
          <w:lang w:val="en-AU"/>
        </w:rPr>
        <w:t>dialysis to study end</w:t>
      </w:r>
      <w:r w:rsidR="00226CB7">
        <w:rPr>
          <w:rFonts w:ascii="Calibri" w:hAnsi="Calibri" w:cs="Calibri"/>
          <w:sz w:val="20"/>
          <w:szCs w:val="20"/>
          <w:lang w:val="en-AU"/>
        </w:rPr>
        <w:t>)</w:t>
      </w:r>
      <w:r w:rsidR="003F1C1C" w:rsidRPr="003F1C1C">
        <w:rPr>
          <w:rFonts w:ascii="Calibri" w:hAnsi="Calibri" w:cs="Calibri"/>
          <w:sz w:val="20"/>
          <w:szCs w:val="20"/>
          <w:lang w:val="en-AU"/>
        </w:rPr>
        <w:t xml:space="preserve"> including demographics, dialysis modality, allopurinol dosing, and serum urate concentrations. Serum urate concentrations collected during acute inflammation (e.g. sepsis or peritonitis) were excluded.</w:t>
      </w:r>
    </w:p>
    <w:p w14:paraId="64BA438B" w14:textId="6621D72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>Forty-nine patients (21 haemodialysis (HD) and 28 peritoneal dialysis (PD)) were included. Most HD patients received thrice-weekly haemodiafiltration (62%) with high flux dialysers (86%</w:t>
      </w:r>
      <w:r w:rsidR="00606939" w:rsidRPr="001F35A9">
        <w:rPr>
          <w:rFonts w:ascii="Calibri" w:hAnsi="Calibri" w:cs="Calibri"/>
          <w:sz w:val="20"/>
          <w:szCs w:val="20"/>
          <w:lang w:val="en-AU"/>
        </w:rPr>
        <w:t>),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 xml:space="preserve"> while 57% of PD patients received automated PD. Allopurinol doses ranged from 25-300 mg daily (mode 100 mg</w:t>
      </w:r>
      <w:r w:rsidR="00ED590C">
        <w:rPr>
          <w:rFonts w:ascii="Calibri" w:hAnsi="Calibri" w:cs="Calibri"/>
          <w:sz w:val="20"/>
          <w:szCs w:val="20"/>
          <w:lang w:val="en-AU"/>
        </w:rPr>
        <w:t xml:space="preserve"> daily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>)</w:t>
      </w:r>
      <w:r w:rsidR="006A554C">
        <w:rPr>
          <w:rFonts w:ascii="Calibri" w:hAnsi="Calibri" w:cs="Calibri"/>
          <w:sz w:val="20"/>
          <w:szCs w:val="20"/>
          <w:lang w:val="en-AU"/>
        </w:rPr>
        <w:t xml:space="preserve">. The dose of allopurinol remained </w:t>
      </w:r>
      <w:r w:rsidR="00EB488C">
        <w:rPr>
          <w:rFonts w:ascii="Calibri" w:hAnsi="Calibri" w:cs="Calibri"/>
          <w:sz w:val="20"/>
          <w:szCs w:val="20"/>
          <w:lang w:val="en-AU"/>
        </w:rPr>
        <w:t>u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>nchanged in 94% (46/49) of patients</w:t>
      </w:r>
      <w:r w:rsidR="002F0506">
        <w:rPr>
          <w:rFonts w:ascii="Calibri" w:hAnsi="Calibri" w:cs="Calibri"/>
          <w:sz w:val="20"/>
          <w:szCs w:val="20"/>
          <w:lang w:val="en-AU"/>
        </w:rPr>
        <w:t xml:space="preserve"> after commencing dialysis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 xml:space="preserve">. Serum urate concentrations were collected </w:t>
      </w:r>
      <w:r w:rsidR="008B6D70" w:rsidRPr="001F35A9">
        <w:rPr>
          <w:rFonts w:ascii="Calibri" w:hAnsi="Calibri" w:cs="Calibri"/>
          <w:sz w:val="20"/>
          <w:szCs w:val="20"/>
          <w:lang w:val="en-AU"/>
        </w:rPr>
        <w:t xml:space="preserve">interdialytic 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 xml:space="preserve">before HD sessions(19/21 patients) or during continuous PD (16/28 patients). At 8 (0.07-48) months </w:t>
      </w:r>
      <w:r w:rsidR="00983B64">
        <w:rPr>
          <w:rFonts w:ascii="Calibri" w:hAnsi="Calibri" w:cs="Calibri"/>
          <w:sz w:val="20"/>
          <w:szCs w:val="20"/>
          <w:lang w:val="en-AU"/>
        </w:rPr>
        <w:t xml:space="preserve">after commencing 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>dialysis,</w:t>
      </w:r>
      <w:r w:rsidR="00983B64">
        <w:rPr>
          <w:rFonts w:ascii="Calibri" w:hAnsi="Calibri" w:cs="Calibri"/>
          <w:sz w:val="20"/>
          <w:szCs w:val="20"/>
          <w:lang w:val="en-AU"/>
        </w:rPr>
        <w:t xml:space="preserve"> the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 xml:space="preserve"> median serum urate </w:t>
      </w:r>
      <w:r w:rsidR="000515AC">
        <w:rPr>
          <w:rFonts w:ascii="Calibri" w:hAnsi="Calibri" w:cs="Calibri"/>
          <w:sz w:val="20"/>
          <w:szCs w:val="20"/>
          <w:lang w:val="en-AU"/>
        </w:rPr>
        <w:t xml:space="preserve">concentrations 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>decreased compared to pre-dialysis (</w:t>
      </w:r>
      <w:r w:rsidR="00415138">
        <w:rPr>
          <w:rFonts w:ascii="Calibri" w:hAnsi="Calibri" w:cs="Calibri"/>
          <w:sz w:val="20"/>
          <w:szCs w:val="20"/>
          <w:lang w:val="en-AU"/>
        </w:rPr>
        <w:t xml:space="preserve">HD: 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>0.53 mmol/L versus 0.3 mmol/L, p=0.006</w:t>
      </w:r>
      <w:r w:rsidR="00415138">
        <w:rPr>
          <w:rFonts w:ascii="Calibri" w:hAnsi="Calibri" w:cs="Calibri"/>
          <w:sz w:val="20"/>
          <w:szCs w:val="20"/>
          <w:lang w:val="en-AU"/>
        </w:rPr>
        <w:t>; PD: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 xml:space="preserve"> 0.53 mmol/L versus 0.31 mmol/L, </w:t>
      </w:r>
      <w:r w:rsidR="00415138" w:rsidRPr="001F35A9">
        <w:rPr>
          <w:rFonts w:ascii="Calibri" w:hAnsi="Calibri" w:cs="Calibri"/>
          <w:sz w:val="20"/>
          <w:szCs w:val="20"/>
          <w:lang w:val="en-AU"/>
        </w:rPr>
        <w:t>p&lt;0.001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 xml:space="preserve">). More frequent HD </w:t>
      </w:r>
      <w:r w:rsidR="00415138">
        <w:rPr>
          <w:rFonts w:ascii="Calibri" w:hAnsi="Calibri" w:cs="Calibri"/>
          <w:sz w:val="20"/>
          <w:szCs w:val="20"/>
          <w:lang w:val="en-AU"/>
        </w:rPr>
        <w:t xml:space="preserve">sessions 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>and continuous PD were associated with lower serum urate</w:t>
      </w:r>
      <w:r w:rsidR="00FC7F6E">
        <w:rPr>
          <w:rFonts w:ascii="Calibri" w:hAnsi="Calibri" w:cs="Calibri"/>
          <w:sz w:val="20"/>
          <w:szCs w:val="20"/>
          <w:lang w:val="en-AU"/>
        </w:rPr>
        <w:t xml:space="preserve"> concentrations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 xml:space="preserve">. Most HD (71%, 15/21) and PD (79%, 22/28) patients had ≥ one serum urate concentration within target throughout </w:t>
      </w:r>
      <w:r w:rsidR="00FC7F6E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1F35A9" w:rsidRPr="001F35A9">
        <w:rPr>
          <w:rFonts w:ascii="Calibri" w:hAnsi="Calibri" w:cs="Calibri"/>
          <w:sz w:val="20"/>
          <w:szCs w:val="20"/>
          <w:lang w:val="en-AU"/>
        </w:rPr>
        <w:t xml:space="preserve">dialysis vintage.  </w:t>
      </w:r>
    </w:p>
    <w:p w14:paraId="624B61E0" w14:textId="04A91A50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44D23" w:rsidRPr="00344D23">
        <w:rPr>
          <w:rFonts w:ascii="Calibri" w:hAnsi="Calibri" w:cs="Calibri"/>
          <w:sz w:val="20"/>
          <w:szCs w:val="20"/>
          <w:lang w:val="en-AU"/>
        </w:rPr>
        <w:t xml:space="preserve">Serum urate concentrations decreased post-dialysis without altering </w:t>
      </w:r>
      <w:r w:rsidR="00FC7F6E">
        <w:rPr>
          <w:rFonts w:ascii="Calibri" w:hAnsi="Calibri" w:cs="Calibri"/>
          <w:sz w:val="20"/>
          <w:szCs w:val="20"/>
          <w:lang w:val="en-AU"/>
        </w:rPr>
        <w:t xml:space="preserve">the dose of </w:t>
      </w:r>
      <w:r w:rsidR="00344D23" w:rsidRPr="00344D23">
        <w:rPr>
          <w:rFonts w:ascii="Calibri" w:hAnsi="Calibri" w:cs="Calibri"/>
          <w:sz w:val="20"/>
          <w:szCs w:val="20"/>
          <w:lang w:val="en-AU"/>
        </w:rPr>
        <w:t xml:space="preserve">allopurinol, confirming </w:t>
      </w:r>
      <w:r w:rsidR="003A6B29">
        <w:rPr>
          <w:rFonts w:ascii="Calibri" w:hAnsi="Calibri" w:cs="Calibri"/>
          <w:sz w:val="20"/>
          <w:szCs w:val="20"/>
          <w:lang w:val="en-AU"/>
        </w:rPr>
        <w:t xml:space="preserve">that </w:t>
      </w:r>
      <w:r w:rsidR="00344D23" w:rsidRPr="00344D23">
        <w:rPr>
          <w:rFonts w:ascii="Calibri" w:hAnsi="Calibri" w:cs="Calibri"/>
          <w:sz w:val="20"/>
          <w:szCs w:val="20"/>
          <w:lang w:val="en-AU"/>
        </w:rPr>
        <w:t xml:space="preserve">dialysis </w:t>
      </w:r>
      <w:r w:rsidR="00F678DB">
        <w:rPr>
          <w:rFonts w:ascii="Calibri" w:hAnsi="Calibri" w:cs="Calibri"/>
          <w:sz w:val="20"/>
          <w:szCs w:val="20"/>
          <w:lang w:val="en-AU"/>
        </w:rPr>
        <w:t>enhance</w:t>
      </w:r>
      <w:r w:rsidR="003A6B29">
        <w:rPr>
          <w:rFonts w:ascii="Calibri" w:hAnsi="Calibri" w:cs="Calibri"/>
          <w:sz w:val="20"/>
          <w:szCs w:val="20"/>
          <w:lang w:val="en-AU"/>
        </w:rPr>
        <w:t>s</w:t>
      </w:r>
      <w:r w:rsidR="00344D23" w:rsidRPr="00344D23">
        <w:rPr>
          <w:rFonts w:ascii="Calibri" w:hAnsi="Calibri" w:cs="Calibri"/>
          <w:sz w:val="20"/>
          <w:szCs w:val="20"/>
          <w:lang w:val="en-AU"/>
        </w:rPr>
        <w:t xml:space="preserve"> urate</w:t>
      </w:r>
      <w:r w:rsidR="003A6B29">
        <w:rPr>
          <w:rFonts w:ascii="Calibri" w:hAnsi="Calibri" w:cs="Calibri"/>
          <w:sz w:val="20"/>
          <w:szCs w:val="20"/>
          <w:lang w:val="en-AU"/>
        </w:rPr>
        <w:t xml:space="preserve"> clearance</w:t>
      </w:r>
      <w:r w:rsidR="00344D23" w:rsidRPr="00344D23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678DB">
        <w:rPr>
          <w:rFonts w:ascii="Calibri" w:hAnsi="Calibri" w:cs="Calibri"/>
          <w:sz w:val="20"/>
          <w:szCs w:val="20"/>
          <w:lang w:val="en-AU"/>
        </w:rPr>
        <w:t>Further research is required to assess whether allopurinol dose reductions or deprescribing is possible</w:t>
      </w:r>
      <w:r w:rsidR="00BF68D3">
        <w:rPr>
          <w:rFonts w:ascii="Calibri" w:hAnsi="Calibri" w:cs="Calibri"/>
          <w:sz w:val="20"/>
          <w:szCs w:val="20"/>
          <w:lang w:val="en-AU"/>
        </w:rPr>
        <w:t xml:space="preserve"> in patients receiving dialysis w</w:t>
      </w:r>
      <w:r w:rsidR="0086530E">
        <w:rPr>
          <w:rFonts w:ascii="Calibri" w:hAnsi="Calibri" w:cs="Calibri"/>
          <w:sz w:val="20"/>
          <w:szCs w:val="20"/>
          <w:lang w:val="en-AU"/>
        </w:rPr>
        <w:t xml:space="preserve">hilst maintaining target urate </w:t>
      </w:r>
      <w:r w:rsidR="00B4331A">
        <w:rPr>
          <w:rFonts w:ascii="Calibri" w:hAnsi="Calibri" w:cs="Calibri"/>
          <w:sz w:val="20"/>
          <w:szCs w:val="20"/>
          <w:lang w:val="en-AU"/>
        </w:rPr>
        <w:t>concentrations</w:t>
      </w:r>
      <w:r w:rsidR="0086530E">
        <w:rPr>
          <w:rFonts w:ascii="Calibri" w:hAnsi="Calibri" w:cs="Calibri"/>
          <w:sz w:val="20"/>
          <w:szCs w:val="20"/>
          <w:lang w:val="en-AU"/>
        </w:rPr>
        <w:t xml:space="preserve">. 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60B9"/>
    <w:rsid w:val="000515AC"/>
    <w:rsid w:val="00071C67"/>
    <w:rsid w:val="00087C01"/>
    <w:rsid w:val="00092DF3"/>
    <w:rsid w:val="000A4FA6"/>
    <w:rsid w:val="00106D64"/>
    <w:rsid w:val="0011698D"/>
    <w:rsid w:val="00134B87"/>
    <w:rsid w:val="00147AF2"/>
    <w:rsid w:val="00183137"/>
    <w:rsid w:val="001A7C4A"/>
    <w:rsid w:val="001F35A9"/>
    <w:rsid w:val="00217371"/>
    <w:rsid w:val="002226BB"/>
    <w:rsid w:val="00226CB7"/>
    <w:rsid w:val="002272B0"/>
    <w:rsid w:val="00243347"/>
    <w:rsid w:val="002F0506"/>
    <w:rsid w:val="00300B92"/>
    <w:rsid w:val="0031458E"/>
    <w:rsid w:val="003238D9"/>
    <w:rsid w:val="00331AA4"/>
    <w:rsid w:val="00344D23"/>
    <w:rsid w:val="00386D08"/>
    <w:rsid w:val="00387491"/>
    <w:rsid w:val="003A6B29"/>
    <w:rsid w:val="003E0368"/>
    <w:rsid w:val="003F1C1C"/>
    <w:rsid w:val="00415138"/>
    <w:rsid w:val="0042349D"/>
    <w:rsid w:val="00444224"/>
    <w:rsid w:val="00475AA6"/>
    <w:rsid w:val="00483B05"/>
    <w:rsid w:val="004A3990"/>
    <w:rsid w:val="004D7BFD"/>
    <w:rsid w:val="004E28B9"/>
    <w:rsid w:val="004E50FC"/>
    <w:rsid w:val="004E5450"/>
    <w:rsid w:val="004F4241"/>
    <w:rsid w:val="00526F41"/>
    <w:rsid w:val="00533954"/>
    <w:rsid w:val="005419DC"/>
    <w:rsid w:val="0059609A"/>
    <w:rsid w:val="00597659"/>
    <w:rsid w:val="005D1700"/>
    <w:rsid w:val="005E48A2"/>
    <w:rsid w:val="005E62BE"/>
    <w:rsid w:val="00606939"/>
    <w:rsid w:val="0061459D"/>
    <w:rsid w:val="006A554C"/>
    <w:rsid w:val="006F200A"/>
    <w:rsid w:val="006F6D92"/>
    <w:rsid w:val="00711813"/>
    <w:rsid w:val="00723C55"/>
    <w:rsid w:val="00724E3C"/>
    <w:rsid w:val="00743C46"/>
    <w:rsid w:val="00760B17"/>
    <w:rsid w:val="007F19AE"/>
    <w:rsid w:val="0086530E"/>
    <w:rsid w:val="00885303"/>
    <w:rsid w:val="008909C9"/>
    <w:rsid w:val="00894239"/>
    <w:rsid w:val="008B6D70"/>
    <w:rsid w:val="00907D54"/>
    <w:rsid w:val="009318C4"/>
    <w:rsid w:val="00947B77"/>
    <w:rsid w:val="00950957"/>
    <w:rsid w:val="00983B64"/>
    <w:rsid w:val="009843B7"/>
    <w:rsid w:val="009B6F1B"/>
    <w:rsid w:val="009E2228"/>
    <w:rsid w:val="009F06D6"/>
    <w:rsid w:val="00A1557B"/>
    <w:rsid w:val="00A266B4"/>
    <w:rsid w:val="00A66EB1"/>
    <w:rsid w:val="00A71DEF"/>
    <w:rsid w:val="00AE2DA6"/>
    <w:rsid w:val="00B4331A"/>
    <w:rsid w:val="00B91714"/>
    <w:rsid w:val="00BC5FCC"/>
    <w:rsid w:val="00BE7668"/>
    <w:rsid w:val="00BF68D3"/>
    <w:rsid w:val="00C132EC"/>
    <w:rsid w:val="00C146D8"/>
    <w:rsid w:val="00C60A71"/>
    <w:rsid w:val="00C82B3C"/>
    <w:rsid w:val="00C91218"/>
    <w:rsid w:val="00CE0EB8"/>
    <w:rsid w:val="00CF1C61"/>
    <w:rsid w:val="00D55F3B"/>
    <w:rsid w:val="00D801DE"/>
    <w:rsid w:val="00D92223"/>
    <w:rsid w:val="00DA2731"/>
    <w:rsid w:val="00E278E9"/>
    <w:rsid w:val="00E44CFD"/>
    <w:rsid w:val="00EA40C0"/>
    <w:rsid w:val="00EB488C"/>
    <w:rsid w:val="00ED590C"/>
    <w:rsid w:val="00EF12F3"/>
    <w:rsid w:val="00EF3B16"/>
    <w:rsid w:val="00F02477"/>
    <w:rsid w:val="00F2684C"/>
    <w:rsid w:val="00F678DB"/>
    <w:rsid w:val="00F90F73"/>
    <w:rsid w:val="00F91F44"/>
    <w:rsid w:val="00F97620"/>
    <w:rsid w:val="00FB0162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852CA"/>
  <w15:chartTrackingRefBased/>
  <w15:docId w15:val="{273ABC2F-AB7F-4728-8067-96944E2F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14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5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459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5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459D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F3B1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5d2db-3489-4ba5-85b5-161f2de0402a">
      <Terms xmlns="http://schemas.microsoft.com/office/infopath/2007/PartnerControls"/>
    </lcf76f155ced4ddcb4097134ff3c332f>
    <TaxCatchAll xmlns="3bbbe9b4-ee6e-4e09-b4b4-98e95fbbec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1588D71D56947AA3CA03FE965FC84" ma:contentTypeVersion="15" ma:contentTypeDescription="Create a new document." ma:contentTypeScope="" ma:versionID="70c4f68dbbdd34b057d3de922deb6fe0">
  <xsd:schema xmlns:xsd="http://www.w3.org/2001/XMLSchema" xmlns:xs="http://www.w3.org/2001/XMLSchema" xmlns:p="http://schemas.microsoft.com/office/2006/metadata/properties" xmlns:ns2="3bbbe9b4-ee6e-4e09-b4b4-98e95fbbec50" xmlns:ns3="74e5d2db-3489-4ba5-85b5-161f2de0402a" targetNamespace="http://schemas.microsoft.com/office/2006/metadata/properties" ma:root="true" ma:fieldsID="fd5dca434f97d79e3025d6bb95d3d978" ns2:_="" ns3:_="">
    <xsd:import namespace="3bbbe9b4-ee6e-4e09-b4b4-98e95fbbec50"/>
    <xsd:import namespace="74e5d2db-3489-4ba5-85b5-161f2de040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9b4-ee6e-4e09-b4b4-98e95fbbec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3df95f-20c9-4619-88a3-990e5aa9cedb}" ma:internalName="TaxCatchAll" ma:showField="CatchAllData" ma:web="3bbbe9b4-ee6e-4e09-b4b4-98e95fbb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5d2db-3489-4ba5-85b5-161f2de0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0F438-93AF-42FE-B338-6676BEDDCD78}">
  <ds:schemaRefs>
    <ds:schemaRef ds:uri="http://schemas.microsoft.com/office/2006/metadata/properties"/>
    <ds:schemaRef ds:uri="http://schemas.microsoft.com/office/infopath/2007/PartnerControls"/>
    <ds:schemaRef ds:uri="74e5d2db-3489-4ba5-85b5-161f2de0402a"/>
    <ds:schemaRef ds:uri="3bbbe9b4-ee6e-4e09-b4b4-98e95fbbec50"/>
  </ds:schemaRefs>
</ds:datastoreItem>
</file>

<file path=customXml/itemProps2.xml><?xml version="1.0" encoding="utf-8"?>
<ds:datastoreItem xmlns:ds="http://schemas.openxmlformats.org/officeDocument/2006/customXml" ds:itemID="{93DAF5FB-A954-4C0F-B617-3A815E1CA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5FBED-4623-42D0-A114-71F5778EC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e9b4-ee6e-4e09-b4b4-98e95fbbec50"/>
    <ds:schemaRef ds:uri="74e5d2db-3489-4ba5-85b5-161f2de04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Noha Ashraf mohamed Mosta Kamel</cp:lastModifiedBy>
  <cp:revision>3</cp:revision>
  <cp:lastPrinted>2013-06-13T05:15:00Z</cp:lastPrinted>
  <dcterms:created xsi:type="dcterms:W3CDTF">2025-09-15T00:44:00Z</dcterms:created>
  <dcterms:modified xsi:type="dcterms:W3CDTF">2025-09-15T00:49:00Z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0x0101009E61588D71D56947AA3CA03FE965FC84</vt:lpwstr>
  </property>
</Properties>
</file>