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562" w:rsidRPr="00C00DBD" w:rsidRDefault="00AF3562" w:rsidP="00AF3562">
      <w:pPr>
        <w:jc w:val="both"/>
        <w:rPr>
          <w:sz w:val="20"/>
          <w:szCs w:val="20"/>
        </w:rPr>
      </w:pPr>
      <w:r w:rsidRPr="00AF3562">
        <w:rPr>
          <w:sz w:val="20"/>
          <w:szCs w:val="20"/>
        </w:rPr>
        <w:t>Title</w:t>
      </w:r>
      <w:r w:rsidRPr="00AF3562">
        <w:rPr>
          <w:b/>
          <w:bCs/>
          <w:sz w:val="20"/>
          <w:szCs w:val="20"/>
        </w:rPr>
        <w:t>: Neuroprotective and Cognitive-Enhancing Effects of Curcumin via Cholinergic and Antioxidant Mechanisms in Albino Wistar Rats</w:t>
      </w:r>
    </w:p>
    <w:p w:rsidR="00AF3562" w:rsidRPr="00712299" w:rsidRDefault="00AF3562" w:rsidP="00AF3562">
      <w:pPr>
        <w:spacing w:after="0" w:line="240" w:lineRule="auto"/>
        <w:jc w:val="both"/>
        <w:rPr>
          <w:rFonts w:asciiTheme="majorHAnsi" w:hAnsiTheme="majorHAnsi" w:cstheme="majorHAnsi"/>
          <w:b/>
          <w:bCs/>
          <w:sz w:val="20"/>
          <w:szCs w:val="20"/>
        </w:rPr>
      </w:pPr>
      <w:r w:rsidRPr="00712299">
        <w:rPr>
          <w:rFonts w:asciiTheme="majorHAnsi" w:hAnsiTheme="majorHAnsi" w:cstheme="majorHAnsi"/>
          <w:bCs/>
          <w:sz w:val="20"/>
          <w:szCs w:val="20"/>
        </w:rPr>
        <w:t>Omoirri MA</w:t>
      </w:r>
      <w:r w:rsidRPr="00712299">
        <w:rPr>
          <w:rFonts w:asciiTheme="majorHAnsi" w:hAnsiTheme="majorHAnsi" w:cstheme="majorHAnsi"/>
          <w:b/>
          <w:bCs/>
          <w:sz w:val="20"/>
          <w:szCs w:val="20"/>
          <w:vertAlign w:val="superscript"/>
        </w:rPr>
        <w:t>1</w:t>
      </w:r>
      <w:r w:rsidRPr="00712299">
        <w:rPr>
          <w:rFonts w:asciiTheme="majorHAnsi" w:hAnsiTheme="majorHAnsi" w:cstheme="majorHAnsi"/>
          <w:bCs/>
          <w:sz w:val="20"/>
          <w:szCs w:val="20"/>
          <w:vertAlign w:val="superscript"/>
        </w:rPr>
        <w:t>,2*</w:t>
      </w:r>
      <w:r w:rsidRPr="00712299">
        <w:rPr>
          <w:rFonts w:asciiTheme="majorHAnsi" w:hAnsiTheme="majorHAnsi" w:cstheme="majorHAnsi"/>
          <w:bCs/>
          <w:sz w:val="20"/>
          <w:szCs w:val="20"/>
        </w:rPr>
        <w:t>,</w:t>
      </w:r>
      <w:r>
        <w:rPr>
          <w:rFonts w:asciiTheme="majorHAnsi" w:hAnsiTheme="majorHAnsi" w:cstheme="majorHAnsi"/>
          <w:bCs/>
          <w:sz w:val="20"/>
          <w:szCs w:val="20"/>
        </w:rPr>
        <w:t xml:space="preserve"> Udom JG</w:t>
      </w:r>
      <w:r w:rsidRPr="003C51A4">
        <w:rPr>
          <w:rFonts w:asciiTheme="majorHAnsi" w:hAnsiTheme="majorHAnsi" w:cstheme="majorHAnsi"/>
          <w:bCs/>
          <w:sz w:val="20"/>
          <w:szCs w:val="20"/>
          <w:vertAlign w:val="superscript"/>
        </w:rPr>
        <w:t>1</w:t>
      </w:r>
      <w:r>
        <w:rPr>
          <w:rFonts w:asciiTheme="majorHAnsi" w:hAnsiTheme="majorHAnsi" w:cstheme="majorHAnsi"/>
          <w:bCs/>
          <w:sz w:val="20"/>
          <w:szCs w:val="20"/>
        </w:rPr>
        <w:t>,</w:t>
      </w:r>
      <w:r w:rsidRPr="00712299">
        <w:rPr>
          <w:rFonts w:asciiTheme="majorHAnsi" w:hAnsiTheme="majorHAnsi" w:cstheme="majorHAnsi"/>
          <w:bCs/>
          <w:sz w:val="20"/>
          <w:szCs w:val="20"/>
        </w:rPr>
        <w:t xml:space="preserve"> </w:t>
      </w:r>
      <w:proofErr w:type="spellStart"/>
      <w:r w:rsidRPr="00712299">
        <w:rPr>
          <w:rFonts w:asciiTheme="majorHAnsi" w:hAnsiTheme="majorHAnsi" w:cstheme="majorHAnsi"/>
          <w:bCs/>
          <w:sz w:val="20"/>
          <w:szCs w:val="20"/>
        </w:rPr>
        <w:t>Akah</w:t>
      </w:r>
      <w:proofErr w:type="spellEnd"/>
      <w:r w:rsidRPr="00712299">
        <w:rPr>
          <w:rFonts w:asciiTheme="majorHAnsi" w:hAnsiTheme="majorHAnsi" w:cstheme="majorHAnsi"/>
          <w:bCs/>
          <w:sz w:val="20"/>
          <w:szCs w:val="20"/>
        </w:rPr>
        <w:t xml:space="preserve"> PA</w:t>
      </w:r>
      <w:r>
        <w:rPr>
          <w:rFonts w:asciiTheme="majorHAnsi" w:hAnsiTheme="majorHAnsi" w:cstheme="majorHAnsi"/>
          <w:bCs/>
          <w:sz w:val="20"/>
          <w:szCs w:val="20"/>
          <w:vertAlign w:val="superscript"/>
        </w:rPr>
        <w:t>3</w:t>
      </w:r>
      <w:r w:rsidRPr="00712299">
        <w:rPr>
          <w:rFonts w:asciiTheme="majorHAnsi" w:hAnsiTheme="majorHAnsi" w:cstheme="majorHAnsi"/>
          <w:bCs/>
          <w:sz w:val="20"/>
          <w:szCs w:val="20"/>
        </w:rPr>
        <w:t xml:space="preserve">, </w:t>
      </w:r>
      <w:proofErr w:type="spellStart"/>
      <w:r w:rsidRPr="00712299">
        <w:rPr>
          <w:rFonts w:asciiTheme="majorHAnsi" w:hAnsiTheme="majorHAnsi" w:cstheme="majorHAnsi"/>
          <w:bCs/>
          <w:sz w:val="20"/>
          <w:szCs w:val="20"/>
        </w:rPr>
        <w:t>Ihekwereme</w:t>
      </w:r>
      <w:proofErr w:type="spellEnd"/>
      <w:r w:rsidRPr="00712299">
        <w:rPr>
          <w:rFonts w:asciiTheme="majorHAnsi" w:hAnsiTheme="majorHAnsi" w:cstheme="majorHAnsi"/>
          <w:bCs/>
          <w:sz w:val="20"/>
          <w:szCs w:val="20"/>
        </w:rPr>
        <w:t xml:space="preserve"> CP</w:t>
      </w:r>
      <w:r w:rsidRPr="0001280A">
        <w:rPr>
          <w:rFonts w:asciiTheme="majorHAnsi" w:hAnsiTheme="majorHAnsi" w:cstheme="majorHAnsi"/>
          <w:bCs/>
          <w:sz w:val="20"/>
          <w:szCs w:val="20"/>
          <w:vertAlign w:val="superscript"/>
        </w:rPr>
        <w:t>4</w:t>
      </w:r>
      <w:r w:rsidRPr="00712299">
        <w:rPr>
          <w:rFonts w:asciiTheme="majorHAnsi" w:hAnsiTheme="majorHAnsi" w:cstheme="majorHAnsi"/>
          <w:bCs/>
          <w:sz w:val="20"/>
          <w:szCs w:val="20"/>
        </w:rPr>
        <w:t xml:space="preserve">, </w:t>
      </w:r>
      <w:r>
        <w:rPr>
          <w:rFonts w:asciiTheme="majorHAnsi" w:hAnsiTheme="majorHAnsi" w:cstheme="majorHAnsi"/>
          <w:bCs/>
          <w:sz w:val="20"/>
          <w:szCs w:val="20"/>
        </w:rPr>
        <w:t>Adeoye V O</w:t>
      </w:r>
      <w:r w:rsidRPr="0001280A">
        <w:rPr>
          <w:rFonts w:asciiTheme="majorHAnsi" w:hAnsiTheme="majorHAnsi" w:cstheme="majorHAnsi"/>
          <w:bCs/>
          <w:sz w:val="20"/>
          <w:szCs w:val="20"/>
          <w:vertAlign w:val="superscript"/>
        </w:rPr>
        <w:t>2</w:t>
      </w:r>
      <w:r>
        <w:rPr>
          <w:rFonts w:asciiTheme="majorHAnsi" w:hAnsiTheme="majorHAnsi" w:cstheme="majorHAnsi"/>
          <w:bCs/>
          <w:sz w:val="20"/>
          <w:szCs w:val="20"/>
        </w:rPr>
        <w:t xml:space="preserve">, and </w:t>
      </w:r>
      <w:proofErr w:type="spellStart"/>
      <w:r>
        <w:rPr>
          <w:rFonts w:asciiTheme="majorHAnsi" w:hAnsiTheme="majorHAnsi" w:cstheme="majorHAnsi"/>
          <w:bCs/>
          <w:sz w:val="20"/>
          <w:szCs w:val="20"/>
        </w:rPr>
        <w:t>Iboro</w:t>
      </w:r>
      <w:proofErr w:type="spellEnd"/>
      <w:r>
        <w:rPr>
          <w:rFonts w:asciiTheme="majorHAnsi" w:hAnsiTheme="majorHAnsi" w:cstheme="majorHAnsi"/>
          <w:bCs/>
          <w:sz w:val="20"/>
          <w:szCs w:val="20"/>
        </w:rPr>
        <w:t xml:space="preserve"> EI</w:t>
      </w:r>
      <w:r w:rsidRPr="003C51A4">
        <w:rPr>
          <w:rFonts w:asciiTheme="majorHAnsi" w:hAnsiTheme="majorHAnsi" w:cstheme="majorHAnsi"/>
          <w:bCs/>
          <w:sz w:val="20"/>
          <w:szCs w:val="20"/>
          <w:vertAlign w:val="superscript"/>
        </w:rPr>
        <w:t>2</w:t>
      </w:r>
    </w:p>
    <w:p w:rsidR="00AF3562" w:rsidRPr="00712299" w:rsidRDefault="00AF3562" w:rsidP="00AF3562">
      <w:pPr>
        <w:spacing w:after="0" w:line="240" w:lineRule="auto"/>
        <w:jc w:val="both"/>
        <w:rPr>
          <w:rFonts w:asciiTheme="majorHAnsi" w:hAnsiTheme="majorHAnsi" w:cstheme="majorHAnsi"/>
          <w:bCs/>
          <w:sz w:val="20"/>
          <w:szCs w:val="20"/>
        </w:rPr>
      </w:pPr>
      <w:r w:rsidRPr="00712299">
        <w:rPr>
          <w:rFonts w:asciiTheme="majorHAnsi" w:hAnsiTheme="majorHAnsi" w:cstheme="majorHAnsi"/>
          <w:b/>
          <w:bCs/>
          <w:sz w:val="20"/>
          <w:szCs w:val="20"/>
          <w:vertAlign w:val="superscript"/>
        </w:rPr>
        <w:t>1</w:t>
      </w:r>
      <w:r w:rsidRPr="00712299">
        <w:rPr>
          <w:rFonts w:asciiTheme="majorHAnsi" w:hAnsiTheme="majorHAnsi" w:cstheme="majorHAnsi"/>
          <w:bCs/>
          <w:sz w:val="20"/>
          <w:szCs w:val="20"/>
          <w:vertAlign w:val="superscript"/>
        </w:rPr>
        <w:t xml:space="preserve"> </w:t>
      </w:r>
      <w:r w:rsidRPr="00712299">
        <w:rPr>
          <w:rFonts w:asciiTheme="majorHAnsi" w:hAnsiTheme="majorHAnsi" w:cstheme="majorHAnsi"/>
          <w:bCs/>
          <w:sz w:val="20"/>
          <w:szCs w:val="20"/>
        </w:rPr>
        <w:t xml:space="preserve">*Department of Pharmacology and Toxicology, </w:t>
      </w:r>
      <w:r>
        <w:rPr>
          <w:rFonts w:asciiTheme="majorHAnsi" w:hAnsiTheme="majorHAnsi" w:cstheme="majorHAnsi"/>
          <w:bCs/>
          <w:sz w:val="20"/>
          <w:szCs w:val="20"/>
        </w:rPr>
        <w:t xml:space="preserve">Faculty of Pharmacy, </w:t>
      </w:r>
      <w:r w:rsidRPr="00712299">
        <w:rPr>
          <w:rFonts w:asciiTheme="majorHAnsi" w:hAnsiTheme="majorHAnsi" w:cstheme="majorHAnsi"/>
          <w:bCs/>
          <w:sz w:val="20"/>
          <w:szCs w:val="20"/>
        </w:rPr>
        <w:t>Federal University Oye-Ekiti, Ekiti State, Nigeria.</w:t>
      </w:r>
    </w:p>
    <w:p w:rsidR="00AF3562" w:rsidRPr="00712299" w:rsidRDefault="00AF3562" w:rsidP="00AF3562">
      <w:pPr>
        <w:spacing w:after="0" w:line="240" w:lineRule="auto"/>
        <w:jc w:val="both"/>
        <w:rPr>
          <w:rFonts w:asciiTheme="majorHAnsi" w:hAnsiTheme="majorHAnsi" w:cstheme="majorHAnsi"/>
          <w:bCs/>
          <w:sz w:val="20"/>
          <w:szCs w:val="20"/>
        </w:rPr>
      </w:pPr>
      <w:r w:rsidRPr="00712299">
        <w:rPr>
          <w:rFonts w:asciiTheme="majorHAnsi" w:hAnsiTheme="majorHAnsi" w:cstheme="majorHAnsi"/>
          <w:bCs/>
          <w:sz w:val="20"/>
          <w:szCs w:val="20"/>
          <w:vertAlign w:val="superscript"/>
        </w:rPr>
        <w:t>2</w:t>
      </w:r>
      <w:r w:rsidRPr="00712299">
        <w:rPr>
          <w:rFonts w:asciiTheme="majorHAnsi" w:hAnsiTheme="majorHAnsi" w:cstheme="majorHAnsi"/>
          <w:bCs/>
          <w:sz w:val="20"/>
          <w:szCs w:val="20"/>
        </w:rPr>
        <w:t xml:space="preserve">Department of Pharmacology, </w:t>
      </w:r>
      <w:r>
        <w:rPr>
          <w:rFonts w:asciiTheme="majorHAnsi" w:hAnsiTheme="majorHAnsi" w:cstheme="majorHAnsi"/>
          <w:bCs/>
          <w:sz w:val="20"/>
          <w:szCs w:val="20"/>
        </w:rPr>
        <w:t>Faculty of Medicine and Pharmaceutical Sciences, Kampala international University Dare salaam Tanzania.</w:t>
      </w:r>
    </w:p>
    <w:p w:rsidR="00AF3562" w:rsidRPr="00712299" w:rsidRDefault="00AF3562" w:rsidP="00AF3562">
      <w:pPr>
        <w:spacing w:after="0" w:line="240" w:lineRule="auto"/>
        <w:jc w:val="both"/>
        <w:rPr>
          <w:rFonts w:asciiTheme="majorHAnsi" w:hAnsiTheme="majorHAnsi" w:cstheme="majorHAnsi"/>
          <w:bCs/>
          <w:sz w:val="20"/>
          <w:szCs w:val="20"/>
        </w:rPr>
      </w:pPr>
      <w:r w:rsidRPr="00712299">
        <w:rPr>
          <w:rFonts w:asciiTheme="majorHAnsi" w:hAnsiTheme="majorHAnsi" w:cstheme="majorHAnsi"/>
          <w:bCs/>
          <w:sz w:val="20"/>
          <w:szCs w:val="20"/>
          <w:vertAlign w:val="superscript"/>
        </w:rPr>
        <w:t>3</w:t>
      </w:r>
      <w:r w:rsidRPr="003C51A4">
        <w:rPr>
          <w:rFonts w:asciiTheme="majorHAnsi" w:hAnsiTheme="majorHAnsi" w:cstheme="majorHAnsi"/>
          <w:bCs/>
          <w:sz w:val="20"/>
          <w:szCs w:val="20"/>
        </w:rPr>
        <w:t xml:space="preserve"> </w:t>
      </w:r>
      <w:r w:rsidRPr="00712299">
        <w:rPr>
          <w:rFonts w:asciiTheme="majorHAnsi" w:hAnsiTheme="majorHAnsi" w:cstheme="majorHAnsi"/>
          <w:bCs/>
          <w:sz w:val="20"/>
          <w:szCs w:val="20"/>
        </w:rPr>
        <w:t xml:space="preserve">Department of Pharmacology and Toxicology, </w:t>
      </w:r>
      <w:r>
        <w:rPr>
          <w:rFonts w:asciiTheme="majorHAnsi" w:hAnsiTheme="majorHAnsi" w:cstheme="majorHAnsi"/>
          <w:bCs/>
          <w:sz w:val="20"/>
          <w:szCs w:val="20"/>
        </w:rPr>
        <w:t xml:space="preserve">Faculty Pharmacy, </w:t>
      </w:r>
      <w:r w:rsidRPr="00712299">
        <w:rPr>
          <w:rFonts w:asciiTheme="majorHAnsi" w:hAnsiTheme="majorHAnsi" w:cstheme="majorHAnsi"/>
          <w:bCs/>
          <w:sz w:val="20"/>
          <w:szCs w:val="20"/>
        </w:rPr>
        <w:t xml:space="preserve">University of Nigeria </w:t>
      </w:r>
      <w:proofErr w:type="spellStart"/>
      <w:r w:rsidRPr="00712299">
        <w:rPr>
          <w:rFonts w:asciiTheme="majorHAnsi" w:hAnsiTheme="majorHAnsi" w:cstheme="majorHAnsi"/>
          <w:bCs/>
          <w:sz w:val="20"/>
          <w:szCs w:val="20"/>
        </w:rPr>
        <w:t>Nssuka</w:t>
      </w:r>
      <w:proofErr w:type="spellEnd"/>
      <w:r w:rsidRPr="00712299">
        <w:rPr>
          <w:rFonts w:asciiTheme="majorHAnsi" w:hAnsiTheme="majorHAnsi" w:cstheme="majorHAnsi"/>
          <w:bCs/>
          <w:sz w:val="20"/>
          <w:szCs w:val="20"/>
        </w:rPr>
        <w:t>, Enugu State</w:t>
      </w:r>
      <w:r w:rsidRPr="00712299">
        <w:rPr>
          <w:rFonts w:asciiTheme="majorHAnsi" w:hAnsiTheme="majorHAnsi" w:cstheme="majorHAnsi"/>
          <w:b/>
          <w:bCs/>
          <w:sz w:val="20"/>
          <w:szCs w:val="20"/>
        </w:rPr>
        <w:t xml:space="preserve">, </w:t>
      </w:r>
      <w:r w:rsidRPr="00712299">
        <w:rPr>
          <w:rFonts w:asciiTheme="majorHAnsi" w:hAnsiTheme="majorHAnsi" w:cstheme="majorHAnsi"/>
          <w:bCs/>
          <w:sz w:val="20"/>
          <w:szCs w:val="20"/>
        </w:rPr>
        <w:t>Nigeria</w:t>
      </w:r>
      <w:r>
        <w:rPr>
          <w:rFonts w:ascii="Times New Roman" w:hAnsi="Times New Roman"/>
          <w:bCs/>
        </w:rPr>
        <w:t>.</w:t>
      </w:r>
    </w:p>
    <w:p w:rsidR="00AF3562" w:rsidRPr="00AF3562" w:rsidRDefault="00AF3562" w:rsidP="00AF3562">
      <w:pPr>
        <w:spacing w:after="0" w:line="240" w:lineRule="auto"/>
        <w:jc w:val="both"/>
        <w:rPr>
          <w:rFonts w:ascii="Times New Roman" w:hAnsi="Times New Roman"/>
          <w:bCs/>
        </w:rPr>
      </w:pPr>
      <w:r>
        <w:rPr>
          <w:rFonts w:asciiTheme="majorHAnsi" w:hAnsiTheme="majorHAnsi" w:cstheme="majorHAnsi"/>
          <w:bCs/>
          <w:sz w:val="20"/>
          <w:szCs w:val="20"/>
          <w:vertAlign w:val="superscript"/>
        </w:rPr>
        <w:t>4</w:t>
      </w:r>
      <w:r w:rsidRPr="00712299">
        <w:rPr>
          <w:rFonts w:asciiTheme="majorHAnsi" w:hAnsiTheme="majorHAnsi" w:cstheme="majorHAnsi"/>
          <w:bCs/>
          <w:sz w:val="20"/>
          <w:szCs w:val="20"/>
        </w:rPr>
        <w:t xml:space="preserve">Department of </w:t>
      </w:r>
      <w:proofErr w:type="spellStart"/>
      <w:r w:rsidRPr="00712299">
        <w:rPr>
          <w:rFonts w:asciiTheme="majorHAnsi" w:hAnsiTheme="majorHAnsi" w:cstheme="majorHAnsi"/>
          <w:bCs/>
          <w:sz w:val="20"/>
          <w:szCs w:val="20"/>
        </w:rPr>
        <w:t>Pharmacog</w:t>
      </w:r>
      <w:r>
        <w:rPr>
          <w:rFonts w:asciiTheme="majorHAnsi" w:hAnsiTheme="majorHAnsi" w:cstheme="majorHAnsi"/>
          <w:bCs/>
          <w:sz w:val="20"/>
          <w:szCs w:val="20"/>
        </w:rPr>
        <w:t>y</w:t>
      </w:r>
      <w:proofErr w:type="spellEnd"/>
      <w:r>
        <w:rPr>
          <w:rFonts w:asciiTheme="majorHAnsi" w:hAnsiTheme="majorHAnsi" w:cstheme="majorHAnsi"/>
          <w:bCs/>
          <w:sz w:val="20"/>
          <w:szCs w:val="20"/>
        </w:rPr>
        <w:t xml:space="preserve"> and Toxicology</w:t>
      </w:r>
      <w:r w:rsidRPr="00712299">
        <w:rPr>
          <w:rFonts w:asciiTheme="majorHAnsi" w:hAnsiTheme="majorHAnsi" w:cstheme="majorHAnsi"/>
          <w:bCs/>
          <w:sz w:val="20"/>
          <w:szCs w:val="20"/>
        </w:rPr>
        <w:t xml:space="preserve">, </w:t>
      </w:r>
      <w:r>
        <w:rPr>
          <w:rFonts w:asciiTheme="majorHAnsi" w:hAnsiTheme="majorHAnsi" w:cstheme="majorHAnsi"/>
          <w:bCs/>
          <w:sz w:val="20"/>
          <w:szCs w:val="20"/>
        </w:rPr>
        <w:t xml:space="preserve">Faculty of Pharmacy </w:t>
      </w:r>
      <w:r w:rsidRPr="00712299">
        <w:rPr>
          <w:rFonts w:asciiTheme="majorHAnsi" w:hAnsiTheme="majorHAnsi" w:cstheme="majorHAnsi"/>
          <w:bCs/>
          <w:sz w:val="20"/>
          <w:szCs w:val="20"/>
        </w:rPr>
        <w:t xml:space="preserve">Nnamdi Azikiwe University </w:t>
      </w:r>
      <w:proofErr w:type="spellStart"/>
      <w:r w:rsidRPr="00712299">
        <w:rPr>
          <w:rFonts w:asciiTheme="majorHAnsi" w:hAnsiTheme="majorHAnsi" w:cstheme="majorHAnsi"/>
          <w:bCs/>
          <w:sz w:val="20"/>
          <w:szCs w:val="20"/>
        </w:rPr>
        <w:t>Awka</w:t>
      </w:r>
      <w:proofErr w:type="spellEnd"/>
      <w:r w:rsidRPr="00712299">
        <w:rPr>
          <w:rFonts w:asciiTheme="majorHAnsi" w:hAnsiTheme="majorHAnsi" w:cstheme="majorHAnsi"/>
          <w:bCs/>
          <w:sz w:val="20"/>
          <w:szCs w:val="20"/>
        </w:rPr>
        <w:t xml:space="preserve">, Anambra State, Nigeria </w:t>
      </w:r>
    </w:p>
    <w:p w:rsidR="00AF3562" w:rsidRPr="00AF3562" w:rsidRDefault="00AF3562" w:rsidP="00AF3562">
      <w:pPr>
        <w:jc w:val="both"/>
        <w:rPr>
          <w:sz w:val="20"/>
          <w:szCs w:val="20"/>
        </w:rPr>
      </w:pPr>
      <w:r w:rsidRPr="00AF3562">
        <w:rPr>
          <w:b/>
          <w:bCs/>
          <w:sz w:val="20"/>
          <w:szCs w:val="20"/>
        </w:rPr>
        <w:t>Background:</w:t>
      </w:r>
      <w:r w:rsidRPr="00AF3562">
        <w:rPr>
          <w:sz w:val="20"/>
          <w:szCs w:val="20"/>
        </w:rPr>
        <w:br/>
        <w:t xml:space="preserve">Cognitive impairment and neurodegenerative disorders such as Alzheimer’s disease are associated with oxidative stress, cholinergic dysfunction, and neuronal degeneration. Current pharmacological therapies provide only symptomatic relief and are often associated with adverse effects. Natural compounds with antioxidant and neuroprotective properties have gained attention as potential therapeutic agents. Curcumin, a polyphenolic compound derived from </w:t>
      </w:r>
      <w:r w:rsidRPr="00AF3562">
        <w:rPr>
          <w:i/>
          <w:iCs/>
          <w:sz w:val="20"/>
          <w:szCs w:val="20"/>
        </w:rPr>
        <w:t>Curcuma longa</w:t>
      </w:r>
      <w:r w:rsidRPr="00AF3562">
        <w:rPr>
          <w:sz w:val="20"/>
          <w:szCs w:val="20"/>
        </w:rPr>
        <w:t>, has demonstrated antioxidant, anti-inflammatory, and neuroprotective activities. However, its effects on cognitive function and underlying mechanisms require further investigation.</w:t>
      </w:r>
    </w:p>
    <w:p w:rsidR="00AF3562" w:rsidRPr="00AF3562" w:rsidRDefault="00AF3562" w:rsidP="00AF3562">
      <w:pPr>
        <w:jc w:val="both"/>
        <w:rPr>
          <w:sz w:val="20"/>
          <w:szCs w:val="20"/>
        </w:rPr>
      </w:pPr>
      <w:r w:rsidRPr="00AF3562">
        <w:rPr>
          <w:b/>
          <w:bCs/>
          <w:sz w:val="20"/>
          <w:szCs w:val="20"/>
        </w:rPr>
        <w:t>Aim of the Study:</w:t>
      </w:r>
      <w:r>
        <w:rPr>
          <w:b/>
          <w:bCs/>
          <w:sz w:val="20"/>
          <w:szCs w:val="20"/>
        </w:rPr>
        <w:t xml:space="preserve"> </w:t>
      </w:r>
      <w:r w:rsidRPr="00AF3562">
        <w:rPr>
          <w:sz w:val="20"/>
          <w:szCs w:val="20"/>
        </w:rPr>
        <w:t>This study aimed to evaluate the neuroprotective and cognitive-enhancing effects of curcumin and its mechanisms of action involving modulation of oxidative stress and cholinergic activity in albino Wistar rats.</w:t>
      </w:r>
    </w:p>
    <w:p w:rsidR="00AF3562" w:rsidRPr="00AF3562" w:rsidRDefault="00AF3562" w:rsidP="00AF3562">
      <w:pPr>
        <w:jc w:val="both"/>
        <w:rPr>
          <w:sz w:val="20"/>
          <w:szCs w:val="20"/>
        </w:rPr>
      </w:pPr>
      <w:r w:rsidRPr="00AF3562">
        <w:rPr>
          <w:b/>
          <w:bCs/>
          <w:sz w:val="20"/>
          <w:szCs w:val="20"/>
        </w:rPr>
        <w:t>Methods:</w:t>
      </w:r>
      <w:r w:rsidRPr="00AF3562">
        <w:rPr>
          <w:sz w:val="20"/>
          <w:szCs w:val="20"/>
        </w:rPr>
        <w:br/>
        <w:t>Thirty adult albino Wistar rats were randomly divided into five groups (n=6): normal control, disease control (scopolamine-induced cognitive impairment), and three treatment groups receiving curcumin (50, 100, and 200 mg/kg orally) for 21 days. Cognitive function was assessed using behavioral tests including the Morris water maze and Y-maze. Biochemical parameters such as acetylcholinesterase (</w:t>
      </w:r>
      <w:proofErr w:type="spellStart"/>
      <w:r w:rsidRPr="00AF3562">
        <w:rPr>
          <w:sz w:val="20"/>
          <w:szCs w:val="20"/>
        </w:rPr>
        <w:t>AChE</w:t>
      </w:r>
      <w:proofErr w:type="spellEnd"/>
      <w:r w:rsidRPr="00AF3562">
        <w:rPr>
          <w:sz w:val="20"/>
          <w:szCs w:val="20"/>
        </w:rPr>
        <w:t>) activity, malondialdehyde (MDA), superoxide dismutase (SOD), catalase (CAT), and reduced glutathione (GSH) were evaluated. Histopathological examination of brain tissue was also conducted.</w:t>
      </w:r>
    </w:p>
    <w:p w:rsidR="00AF3562" w:rsidRPr="00AF3562" w:rsidRDefault="00AF3562" w:rsidP="00AF3562">
      <w:pPr>
        <w:jc w:val="both"/>
        <w:rPr>
          <w:sz w:val="20"/>
          <w:szCs w:val="20"/>
        </w:rPr>
      </w:pPr>
      <w:r w:rsidRPr="00AF3562">
        <w:rPr>
          <w:b/>
          <w:bCs/>
          <w:sz w:val="20"/>
          <w:szCs w:val="20"/>
        </w:rPr>
        <w:t>Results:</w:t>
      </w:r>
      <w:r w:rsidRPr="00AF3562">
        <w:rPr>
          <w:sz w:val="20"/>
          <w:szCs w:val="20"/>
        </w:rPr>
        <w:br/>
        <w:t>Curcumin treatment produced significant (p &lt; 0.05) improvement in cognitive performance in a dose-dependent manner compared to the disease control group. In the Morris water maze test, curcumin significantly reduced escape latency time and increased time spent in the target quadrant, indicating improved spatial learning and memory retention. Similarly, in the Y-maze test, there was a significant increase in spontaneous alternation percentage, reflecting enhanced working memory. Biochemically, curcumin significantly reduced brain acetylcholinesterase (</w:t>
      </w:r>
      <w:proofErr w:type="spellStart"/>
      <w:r w:rsidRPr="00AF3562">
        <w:rPr>
          <w:sz w:val="20"/>
          <w:szCs w:val="20"/>
        </w:rPr>
        <w:t>AChE</w:t>
      </w:r>
      <w:proofErr w:type="spellEnd"/>
      <w:r w:rsidRPr="00AF3562">
        <w:rPr>
          <w:sz w:val="20"/>
          <w:szCs w:val="20"/>
        </w:rPr>
        <w:t>) activity, suggesting improved cholinergic neurotransmission. Oxidative stress markers showed a significant decrease in malondialdehyde (MDA) levels, indicating reduced lipid peroxidation, while antioxidant enzymes including superoxide dismutase (SOD), catalase (CAT), and reduced glutathione (GSH) were significantly increased compared to disease control. Histopathological examination of brain tissues revealed preservation of neuronal architecture, reduced neuronal degeneration, and decreased inflammatory cell infiltration in curcumin-treated groups. The highest dose (200 mg/kg) demonstrated the most pronounced neuroprotective and cognitive-enhancing effects.</w:t>
      </w:r>
    </w:p>
    <w:p w:rsidR="00AF3562" w:rsidRPr="00AF3562" w:rsidRDefault="00AF3562" w:rsidP="00AF3562">
      <w:pPr>
        <w:jc w:val="both"/>
        <w:rPr>
          <w:sz w:val="20"/>
          <w:szCs w:val="20"/>
        </w:rPr>
      </w:pPr>
      <w:r w:rsidRPr="00AF3562">
        <w:rPr>
          <w:b/>
          <w:bCs/>
          <w:sz w:val="20"/>
          <w:szCs w:val="20"/>
        </w:rPr>
        <w:t>Conclusion:</w:t>
      </w:r>
      <w:r w:rsidRPr="00AF3562">
        <w:rPr>
          <w:sz w:val="20"/>
          <w:szCs w:val="20"/>
        </w:rPr>
        <w:br/>
        <w:t>Curcumin demonstrated significant neuroprotective and cognitive-enhancing effects through antioxidant activity and enhancement of cholinergic function. These findings suggest its potential as a therapeutic agent for the prevention and management of neurodegenerative disorders.</w:t>
      </w:r>
    </w:p>
    <w:p w:rsidR="00AF3562" w:rsidRPr="00AF3562" w:rsidRDefault="00AF3562" w:rsidP="00AF3562">
      <w:pPr>
        <w:jc w:val="both"/>
        <w:rPr>
          <w:sz w:val="20"/>
          <w:szCs w:val="20"/>
        </w:rPr>
      </w:pPr>
      <w:r w:rsidRPr="00AF3562">
        <w:rPr>
          <w:b/>
          <w:bCs/>
          <w:sz w:val="20"/>
          <w:szCs w:val="20"/>
        </w:rPr>
        <w:t>Keywords:</w:t>
      </w:r>
      <w:r w:rsidRPr="00AF3562">
        <w:rPr>
          <w:sz w:val="20"/>
          <w:szCs w:val="20"/>
        </w:rPr>
        <w:t xml:space="preserve"> Curcumin, neuroprotection, cognitive function, oxidative stress, acetylcholinesterase, Wistar rats.</w:t>
      </w:r>
    </w:p>
    <w:p w:rsidR="00075789" w:rsidRPr="00AF3562" w:rsidRDefault="00075789" w:rsidP="00AF3562">
      <w:pPr>
        <w:jc w:val="both"/>
        <w:rPr>
          <w:sz w:val="20"/>
          <w:szCs w:val="20"/>
        </w:rPr>
      </w:pPr>
    </w:p>
    <w:sectPr w:rsidR="00075789" w:rsidRPr="00AF3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62"/>
    <w:rsid w:val="00075789"/>
    <w:rsid w:val="00342707"/>
    <w:rsid w:val="003E6A6B"/>
    <w:rsid w:val="009A3A79"/>
    <w:rsid w:val="00AF3562"/>
    <w:rsid w:val="00C0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E401"/>
  <w15:chartTrackingRefBased/>
  <w15:docId w15:val="{7919434C-58B6-473B-B7C5-A399D2FB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5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F35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F35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35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F35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F3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5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F35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35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35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F35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F3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562"/>
    <w:rPr>
      <w:rFonts w:eastAsiaTheme="majorEastAsia" w:cstheme="majorBidi"/>
      <w:color w:val="272727" w:themeColor="text1" w:themeTint="D8"/>
    </w:rPr>
  </w:style>
  <w:style w:type="paragraph" w:styleId="Title">
    <w:name w:val="Title"/>
    <w:basedOn w:val="Normal"/>
    <w:next w:val="Normal"/>
    <w:link w:val="TitleChar"/>
    <w:uiPriority w:val="10"/>
    <w:qFormat/>
    <w:rsid w:val="00AF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562"/>
    <w:pPr>
      <w:spacing w:before="160"/>
      <w:jc w:val="center"/>
    </w:pPr>
    <w:rPr>
      <w:i/>
      <w:iCs/>
      <w:color w:val="404040" w:themeColor="text1" w:themeTint="BF"/>
    </w:rPr>
  </w:style>
  <w:style w:type="character" w:customStyle="1" w:styleId="QuoteChar">
    <w:name w:val="Quote Char"/>
    <w:basedOn w:val="DefaultParagraphFont"/>
    <w:link w:val="Quote"/>
    <w:uiPriority w:val="29"/>
    <w:rsid w:val="00AF3562"/>
    <w:rPr>
      <w:i/>
      <w:iCs/>
      <w:color w:val="404040" w:themeColor="text1" w:themeTint="BF"/>
    </w:rPr>
  </w:style>
  <w:style w:type="paragraph" w:styleId="ListParagraph">
    <w:name w:val="List Paragraph"/>
    <w:basedOn w:val="Normal"/>
    <w:uiPriority w:val="34"/>
    <w:qFormat/>
    <w:rsid w:val="00AF3562"/>
    <w:pPr>
      <w:ind w:left="720"/>
      <w:contextualSpacing/>
    </w:pPr>
  </w:style>
  <w:style w:type="character" w:styleId="IntenseEmphasis">
    <w:name w:val="Intense Emphasis"/>
    <w:basedOn w:val="DefaultParagraphFont"/>
    <w:uiPriority w:val="21"/>
    <w:qFormat/>
    <w:rsid w:val="00AF3562"/>
    <w:rPr>
      <w:i/>
      <w:iCs/>
      <w:color w:val="2E74B5" w:themeColor="accent1" w:themeShade="BF"/>
    </w:rPr>
  </w:style>
  <w:style w:type="paragraph" w:styleId="IntenseQuote">
    <w:name w:val="Intense Quote"/>
    <w:basedOn w:val="Normal"/>
    <w:next w:val="Normal"/>
    <w:link w:val="IntenseQuoteChar"/>
    <w:uiPriority w:val="30"/>
    <w:qFormat/>
    <w:rsid w:val="00AF3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3562"/>
    <w:rPr>
      <w:i/>
      <w:iCs/>
      <w:color w:val="2E74B5" w:themeColor="accent1" w:themeShade="BF"/>
    </w:rPr>
  </w:style>
  <w:style w:type="character" w:styleId="IntenseReference">
    <w:name w:val="Intense Reference"/>
    <w:basedOn w:val="DefaultParagraphFont"/>
    <w:uiPriority w:val="32"/>
    <w:qFormat/>
    <w:rsid w:val="00AF356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omoirri</dc:creator>
  <cp:keywords/>
  <dc:description/>
  <cp:lastModifiedBy>moses omoirri</cp:lastModifiedBy>
  <cp:revision>2</cp:revision>
  <dcterms:created xsi:type="dcterms:W3CDTF">2026-02-16T11:16:00Z</dcterms:created>
  <dcterms:modified xsi:type="dcterms:W3CDTF">2026-02-16T11:22:00Z</dcterms:modified>
</cp:coreProperties>
</file>