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6F1B9" w14:textId="46A0E556" w:rsidR="00C315D2" w:rsidRPr="00C315D2" w:rsidRDefault="000460C0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Exploring the Required Number of Items for </w:t>
      </w:r>
      <w:proofErr w:type="spellStart"/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Kampo</w:t>
      </w:r>
      <w:proofErr w:type="spellEnd"/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Pattern Prediction Models Using Machine </w:t>
      </w:r>
      <w:r w:rsidR="004D3824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Learning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</w:t>
      </w:r>
    </w:p>
    <w:p w14:paraId="79141BD9" w14:textId="40BF5755" w:rsidR="00C315D2" w:rsidRPr="00C315D2" w:rsidRDefault="00B80840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B80840"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Ayako Maeda-Minami</w:t>
      </w:r>
      <w:r w:rsidRPr="00B80840">
        <w:rPr>
          <w:rFonts w:ascii="Arial" w:eastAsia="Calibri" w:hAnsi="Arial" w:cs="Calibri"/>
          <w:b/>
          <w:bCs/>
          <w:kern w:val="0"/>
          <w:sz w:val="20"/>
          <w:szCs w:val="20"/>
          <w:u w:val="single"/>
          <w:vertAlign w:val="superscript"/>
          <w14:ligatures w14:val="none"/>
        </w:rPr>
        <w:t>1,2</w:t>
      </w:r>
      <w:r w:rsidRPr="00B80840">
        <w:rPr>
          <w:rFonts w:ascii="Arial" w:eastAsia="Calibri" w:hAnsi="Arial" w:cs="Calibri"/>
          <w:kern w:val="0"/>
          <w:sz w:val="20"/>
          <w:szCs w:val="20"/>
          <w14:ligatures w14:val="none"/>
        </w:rPr>
        <w:t>, Tetsuhiro Yoshino</w:t>
      </w:r>
      <w:r w:rsidRPr="00B80840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Pr="00B80840">
        <w:rPr>
          <w:rFonts w:ascii="Arial" w:eastAsia="Calibri" w:hAnsi="Arial" w:cs="Calibri"/>
          <w:kern w:val="0"/>
          <w:sz w:val="20"/>
          <w:szCs w:val="20"/>
          <w14:ligatures w14:val="none"/>
        </w:rPr>
        <w:t>, Yuko Horiba</w:t>
      </w:r>
      <w:r w:rsidRPr="00B80840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Pr="00B80840">
        <w:rPr>
          <w:rFonts w:ascii="Arial" w:eastAsia="Calibri" w:hAnsi="Arial" w:cs="Calibri"/>
          <w:kern w:val="0"/>
          <w:sz w:val="20"/>
          <w:szCs w:val="20"/>
          <w14:ligatures w14:val="none"/>
        </w:rPr>
        <w:t>, Kenji Watanabe</w:t>
      </w:r>
      <w:r w:rsidRPr="00B80840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Pr="00B80840">
        <w:rPr>
          <w:rFonts w:ascii="Arial" w:eastAsia="Calibri" w:hAnsi="Arial" w:cs="Calibri"/>
          <w:kern w:val="0"/>
          <w:sz w:val="20"/>
          <w:szCs w:val="20"/>
          <w14:ligatures w14:val="none"/>
        </w:rPr>
        <w:t>, Koichi Fukunaga</w:t>
      </w:r>
      <w:r w:rsidRPr="00B80840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137D4547" w14:textId="222EDAA3" w:rsidR="00C315D2" w:rsidRPr="00C315D2" w:rsidRDefault="00B80840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Faculty </w:t>
      </w:r>
      <w:r w:rsidRPr="00B8084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of Pharmaceutical Sciences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Tokyo University of Science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Katushika-ku</w:t>
      </w:r>
      <w:proofErr w:type="spellEnd"/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>Tokyo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Japan</w:t>
      </w:r>
      <w:r w:rsidR="00F539F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</w:p>
    <w:p w14:paraId="47D76891" w14:textId="31F1BBE2" w:rsidR="00C315D2" w:rsidRPr="00C315D2" w:rsidRDefault="00B80840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Faculty of Medicine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Keio University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Shinjuku-</w:t>
      </w:r>
      <w:proofErr w:type="spellStart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ku</w:t>
      </w:r>
      <w:proofErr w:type="spellEnd"/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>Tokyo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Japan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2385039D" w14:textId="618CE3E5" w:rsidR="00C315D2" w:rsidRPr="00C43FDE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="0039026D" w:rsidRPr="0039026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Kampo</w:t>
      </w:r>
      <w:proofErr w:type="spellEnd"/>
      <w:r w:rsidR="0039026D" w:rsidRPr="0039026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is a traditional medicine in Japan. </w:t>
      </w:r>
      <w:proofErr w:type="spellStart"/>
      <w:r w:rsidR="0039026D" w:rsidRPr="0039026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Kampo</w:t>
      </w:r>
      <w:proofErr w:type="spellEnd"/>
      <w:r w:rsidR="0039026D" w:rsidRPr="0039026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diagnosis is part of the traditional East Asian medicine classification included in ICD-11, and </w:t>
      </w:r>
      <w:proofErr w:type="spellStart"/>
      <w:r w:rsidR="0039026D" w:rsidRPr="0039026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Kampo</w:t>
      </w:r>
      <w:proofErr w:type="spellEnd"/>
      <w:r w:rsidR="0039026D" w:rsidRPr="0039026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treatments are selected based on the individual patient's pattern.</w:t>
      </w:r>
      <w:r w:rsidR="0039026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F08DE" w:rsidRPr="00DF08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We have previously reported on a predicti</w:t>
      </w:r>
      <w:r w:rsidR="0062729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on</w:t>
      </w:r>
      <w:r w:rsidR="00DF08DE" w:rsidRPr="00DF08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model using </w:t>
      </w:r>
      <w:r w:rsidR="0062729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 </w:t>
      </w:r>
      <w:r w:rsidR="00DF08DE" w:rsidRPr="00DF08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machine learning model for </w:t>
      </w:r>
      <w:proofErr w:type="spellStart"/>
      <w:r w:rsidR="00DF08DE" w:rsidRPr="00DF08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Kampo</w:t>
      </w:r>
      <w:proofErr w:type="spellEnd"/>
      <w:r w:rsidR="00DF08DE" w:rsidRPr="00DF08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pattern diagnosis, which required a large number of </w:t>
      </w:r>
      <w:r w:rsidR="00C43FDE" w:rsidRPr="00DF08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questionnaire</w:t>
      </w:r>
      <w:r w:rsidR="00DF08DE" w:rsidRPr="00DF08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items.</w:t>
      </w:r>
      <w:r w:rsidR="00C43F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6F65A9" w:rsidRPr="006F65A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Pharmacists can sell over-the-counter </w:t>
      </w:r>
      <w:proofErr w:type="spellStart"/>
      <w:r w:rsidR="006F65A9" w:rsidRPr="006F65A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Kampo</w:t>
      </w:r>
      <w:proofErr w:type="spellEnd"/>
      <w:r w:rsidR="006F65A9" w:rsidRPr="006F65A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medicines, however, not all pharmacists are well educated in </w:t>
      </w:r>
      <w:proofErr w:type="spellStart"/>
      <w:r w:rsidR="006F65A9" w:rsidRPr="006F65A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Kampo</w:t>
      </w:r>
      <w:proofErr w:type="spellEnd"/>
      <w:r w:rsidR="006F65A9" w:rsidRPr="006F65A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</w:t>
      </w:r>
      <w:r w:rsidR="006F65A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can </w:t>
      </w:r>
      <w:r w:rsidR="006F65A9" w:rsidRPr="006F65A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determine the symptoms. </w:t>
      </w:r>
      <w:r w:rsidR="008409E6" w:rsidRPr="008409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To enable pharmacists to more easily select appropriate over-the-counter </w:t>
      </w:r>
      <w:proofErr w:type="spellStart"/>
      <w:r w:rsidR="008409E6" w:rsidRPr="008409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Kampo</w:t>
      </w:r>
      <w:proofErr w:type="spellEnd"/>
      <w:r w:rsidR="008409E6" w:rsidRPr="008409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46DF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medicine</w:t>
      </w:r>
      <w:r w:rsidR="008409E6" w:rsidRPr="008409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s, a predictive model that can</w:t>
      </w:r>
      <w:r w:rsidR="008409E6" w:rsidRPr="00EA2FF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EA2FF4" w:rsidRPr="00EA2FF4">
        <w:rPr>
          <w:rFonts w:ascii="Arial" w:eastAsia="ＭＳ 明朝" w:hAnsi="Arial" w:cs="Arial"/>
          <w:bCs/>
          <w:kern w:val="0"/>
          <w:sz w:val="20"/>
          <w:szCs w:val="20"/>
          <w14:ligatures w14:val="none"/>
        </w:rPr>
        <w:t>predict</w:t>
      </w:r>
      <w:r w:rsidR="008409E6" w:rsidRPr="008409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Kampo patterns using fewer items is needed.</w:t>
      </w:r>
      <w:r w:rsidR="008409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43FDE" w:rsidRPr="00C43F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 objective of this study was to explore a predictive model for Kampo pattern diagnosis that requires fewer questionnaire items.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8C0479A" w14:textId="222E94C1" w:rsidR="00C315D2" w:rsidRPr="00D20FCC" w:rsidRDefault="00C315D2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C43E3" w:rsidRPr="004C43E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We collected data from patients’ first visit to one of the six Kampo clinics in Japan from January 2012 to February 2015. All participants were surveyed using a </w:t>
      </w:r>
      <w:r w:rsidR="00D46DF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153-item</w:t>
      </w:r>
      <w:r w:rsidR="004C43E3" w:rsidRPr="004C43E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questionnaire, including </w:t>
      </w:r>
      <w:r w:rsidR="00D46DF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5 vital </w:t>
      </w:r>
      <w:r w:rsidR="004D382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signs</w:t>
      </w:r>
      <w:r w:rsidR="004C43E3" w:rsidRPr="004C43E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148 subjective symptoms. We constructed </w:t>
      </w:r>
      <w:r w:rsidR="000D7AD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prediction models</w:t>
      </w:r>
      <w:r w:rsidR="004C43E3" w:rsidRPr="004C43E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of </w:t>
      </w:r>
      <w:r w:rsidR="002631AD" w:rsidRPr="000D7AD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deficiency-excess</w:t>
      </w:r>
      <w:r w:rsidR="002631AD" w:rsidRPr="0062326A">
        <w:rPr>
          <w:rFonts w:ascii="Arial" w:eastAsia="ＭＳ 明朝" w:hAnsi="Arial" w:cs="Arial"/>
          <w:kern w:val="0"/>
          <w:sz w:val="20"/>
          <w:szCs w:val="20"/>
          <w:lang w:val="en-US" w:eastAsia="ja-JP"/>
          <w14:ligatures w14:val="none"/>
        </w:rPr>
        <w:t xml:space="preserve"> and </w:t>
      </w:r>
      <w:r w:rsidR="004C43E3" w:rsidRPr="004C43E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cold-heat pattern diagnosis using a random forest algorithm from training data and extracted the most important items</w:t>
      </w:r>
      <w:r w:rsidR="004C43E3" w:rsidRPr="00D20FC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  <w:r w:rsidR="004C43E3" w:rsidRPr="00D20FCC">
        <w:rPr>
          <w:rFonts w:ascii="Arial" w:eastAsia="ＭＳ 明朝" w:hAnsi="Arial" w:cs="Arial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D20FCC" w:rsidRPr="00D20FCC">
        <w:rPr>
          <w:rFonts w:ascii="Arial" w:eastAsia="ＭＳ 明朝" w:hAnsi="Arial" w:cs="Arial"/>
          <w:bCs/>
          <w:kern w:val="0"/>
          <w:sz w:val="20"/>
          <w:szCs w:val="20"/>
          <w:lang w:eastAsia="ja-JP"/>
          <w14:ligatures w14:val="none"/>
        </w:rPr>
        <w:t xml:space="preserve">To examine whether pattern </w:t>
      </w:r>
      <w:r w:rsidR="000D7AD6" w:rsidRPr="00D20FCC">
        <w:rPr>
          <w:rFonts w:ascii="Arial" w:eastAsia="ＭＳ 明朝" w:hAnsi="Arial" w:cs="Arial"/>
          <w:bCs/>
          <w:kern w:val="0"/>
          <w:sz w:val="20"/>
          <w:szCs w:val="20"/>
          <w:lang w:eastAsia="ja-JP"/>
          <w14:ligatures w14:val="none"/>
        </w:rPr>
        <w:t>diagnosis</w:t>
      </w:r>
      <w:r w:rsidR="00D20FCC" w:rsidRPr="00D20FCC">
        <w:rPr>
          <w:rFonts w:ascii="Arial" w:eastAsia="ＭＳ 明朝" w:hAnsi="Arial" w:cs="Arial"/>
          <w:bCs/>
          <w:kern w:val="0"/>
          <w:sz w:val="20"/>
          <w:szCs w:val="20"/>
          <w:lang w:eastAsia="ja-JP"/>
          <w14:ligatures w14:val="none"/>
        </w:rPr>
        <w:t xml:space="preserve"> can be identified using a smaller number of items, we extracted the top 3</w:t>
      </w:r>
      <w:r w:rsidR="00D46DFF">
        <w:rPr>
          <w:rFonts w:ascii="Arial" w:eastAsia="ＭＳ 明朝" w:hAnsi="Arial" w:cs="Arial" w:hint="eastAsia"/>
          <w:bCs/>
          <w:kern w:val="0"/>
          <w:sz w:val="20"/>
          <w:szCs w:val="20"/>
          <w:lang w:eastAsia="ja-JP"/>
          <w14:ligatures w14:val="none"/>
        </w:rPr>
        <w:t>-</w:t>
      </w:r>
      <w:r w:rsidR="00D20FCC" w:rsidRPr="00D20FCC">
        <w:rPr>
          <w:rFonts w:ascii="Arial" w:eastAsia="ＭＳ 明朝" w:hAnsi="Arial" w:cs="Arial"/>
          <w:bCs/>
          <w:kern w:val="0"/>
          <w:sz w:val="20"/>
          <w:szCs w:val="20"/>
          <w:lang w:eastAsia="ja-JP"/>
          <w14:ligatures w14:val="none"/>
        </w:rPr>
        <w:t>30 most important items based on importance rankings and constructed machine learning models using only these selected items.</w:t>
      </w:r>
    </w:p>
    <w:p w14:paraId="1387B9C3" w14:textId="3ACDEEB8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4CAF8FCE" w14:textId="2ACC018C" w:rsidR="000D7AD6" w:rsidRDefault="00795378" w:rsidP="000D7AD6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C646E1">
        <w:rPr>
          <w:rFonts w:ascii="Calibri" w:eastAsia="Calibri" w:hAnsi="Calibri" w:cs="Times New Roman"/>
          <w:kern w:val="0"/>
          <w:lang w:val="en-GB"/>
          <w14:ligatures w14:val="none"/>
        </w:rPr>
        <w:t xml:space="preserve">The number of </w:t>
      </w:r>
      <w:r w:rsidR="00C646E1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eligible</w:t>
      </w:r>
      <w:r w:rsidR="000D7AD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patients </w:t>
      </w:r>
      <w:r w:rsidR="00C646E1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was</w:t>
      </w:r>
      <w:r w:rsidR="000D7AD6" w:rsidRPr="000D7AD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750. In the deficiency-excess pattern prediction model, the most important items were BMI, systolic blood pressure, diastolic blood pressure, age, and </w:t>
      </w:r>
      <w:r w:rsidR="000D7AD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e</w:t>
      </w:r>
      <w:r w:rsidR="000D7AD6" w:rsidRPr="000D7AD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asily fatigued, in that order. In the </w:t>
      </w:r>
      <w:r w:rsidR="000D7AD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cold heat pattern </w:t>
      </w:r>
      <w:r w:rsidR="000D7AD6" w:rsidRPr="000D7AD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prediction model, the most important items were </w:t>
      </w:r>
      <w:r w:rsidR="000D7AD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c</w:t>
      </w:r>
      <w:r w:rsidR="000D7AD6" w:rsidRPr="000D7AD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old hypersensitivity in legs, </w:t>
      </w:r>
      <w:r w:rsidR="000D7AD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c</w:t>
      </w:r>
      <w:r w:rsidR="000D7AD6" w:rsidRPr="000D7AD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old intolerance, </w:t>
      </w:r>
      <w:r w:rsidR="000D7AD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c</w:t>
      </w:r>
      <w:r w:rsidR="000D7AD6" w:rsidRPr="000D7AD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old hypersensitivity in hands, </w:t>
      </w:r>
      <w:r w:rsidR="000D7AD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g</w:t>
      </w:r>
      <w:r w:rsidR="000D7AD6" w:rsidRPr="000D7AD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eneral cold hypersensitivity, and </w:t>
      </w:r>
      <w:r w:rsidR="000D7AD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h</w:t>
      </w:r>
      <w:r w:rsidR="000D7AD6" w:rsidRPr="000D7AD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eat intolerance, in that order.</w:t>
      </w:r>
      <w:r w:rsidR="008C2D5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8C2D54" w:rsidRPr="008C2D5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The discriminant ratio of the prediction model using all 153 questionnaire items was 80.8% for deficiency-excess pattern and 74.9% for cold-heat pattern.</w:t>
      </w:r>
      <w:r w:rsidR="008C2D5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225796" w:rsidRPr="0022579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When using only the top five items, the discriminant ratios were 78.0% and 73.6%, respectively.</w:t>
      </w:r>
    </w:p>
    <w:p w14:paraId="6F640FAE" w14:textId="77777777" w:rsidR="00572986" w:rsidRPr="00C315D2" w:rsidRDefault="00572986" w:rsidP="000D7AD6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</w:p>
    <w:p w14:paraId="7A6A1625" w14:textId="7402FFA0" w:rsidR="00C315D2" w:rsidRPr="00572986" w:rsidRDefault="0062729C" w:rsidP="00C315D2">
      <w:pPr>
        <w:spacing w:after="0" w:line="240" w:lineRule="auto"/>
        <w:jc w:val="both"/>
        <w:rPr>
          <w:rFonts w:ascii="Arial" w:eastAsia="Calibri" w:hAnsi="Arial" w:cs="Calibri"/>
          <w:sz w:val="20"/>
          <w:szCs w:val="20"/>
          <w:lang w:val="en-US"/>
        </w:rPr>
      </w:pPr>
      <w:r>
        <w:rPr>
          <w:rFonts w:ascii="Arial" w:eastAsia="Calibri" w:hAnsi="Arial" w:cs="Calibri"/>
          <w:noProof/>
          <w:sz w:val="20"/>
          <w:szCs w:val="20"/>
          <w:lang w:val="en-US"/>
        </w:rPr>
        <w:drawing>
          <wp:inline distT="0" distB="0" distL="0" distR="0" wp14:anchorId="7D589592" wp14:editId="7CE889E4">
            <wp:extent cx="3447926" cy="2336800"/>
            <wp:effectExtent l="0" t="0" r="635" b="635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213" cy="235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4719324" w14:textId="6B1465EC" w:rsidR="00C315D2" w:rsidRPr="00936D4C" w:rsidRDefault="00C315D2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 xml:space="preserve">Figure 1. </w:t>
      </w:r>
      <w:r w:rsidR="00852087" w:rsidRPr="00852087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Discriminant ratio of pattern prediction models constructed using the top 3 to 30 most important questionnaire items and all items</w:t>
      </w:r>
      <w:r w:rsidRPr="2021B9E9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.</w:t>
      </w: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</w:p>
    <w:p w14:paraId="37683296" w14:textId="77777777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65E846CD" w14:textId="69C5C2C1" w:rsidR="00C315D2" w:rsidRPr="00C315D2" w:rsidRDefault="00B8473A" w:rsidP="00D46DFF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46DFF" w:rsidRPr="00D46DF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We</w:t>
      </w:r>
      <w:r w:rsidR="000460C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confirmed </w:t>
      </w:r>
      <w:r w:rsidR="000460C0" w:rsidRPr="000460C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 early saturation of the discriminant ratio of</w:t>
      </w:r>
      <w:r w:rsidR="00D46DFF" w:rsidRPr="00D46DF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 pattern diagnostic prediction model.</w:t>
      </w:r>
      <w:r w:rsidR="0062729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6165AD" w:rsidRPr="006165A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We plan to continue our research to facilitate the selection of appropriate herbal medicines.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0C33FFFD" w14:textId="2DC1E79C" w:rsidR="00225796" w:rsidRDefault="00225796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  <w:r w:rsidRPr="00225796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Acknowledgement</w:t>
      </w: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:</w:t>
      </w:r>
      <w:r w:rsidR="00C646E1" w:rsidRPr="00C646E1">
        <w:t xml:space="preserve"> </w:t>
      </w:r>
      <w:r w:rsidR="00C646E1" w:rsidRPr="00C646E1">
        <w:rPr>
          <w:rFonts w:ascii="Arial" w:eastAsia="Calibri" w:hAnsi="Arial" w:cs="Calibri"/>
          <w:kern w:val="0"/>
          <w:sz w:val="20"/>
          <w:szCs w:val="20"/>
          <w14:ligatures w14:val="none"/>
        </w:rPr>
        <w:t>This work was supported by a Grant-in-Aid for Research on Propulsion Study of Clinical Research from the Ministry of Health, Labor and Welfare in building the questionnaire and data collection.</w:t>
      </w:r>
    </w:p>
    <w:p w14:paraId="5D53FFFD" w14:textId="5BB6E8E6" w:rsidR="00EA2FF4" w:rsidRPr="00EA2FF4" w:rsidRDefault="00EA2FF4" w:rsidP="00225796">
      <w:pPr>
        <w:jc w:val="both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</w:p>
    <w:sectPr w:rsidR="00EA2FF4" w:rsidRPr="00EA2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904155" w16cex:dateUtc="2025-05-28T07:40:00Z"/>
  <w16cex:commentExtensible w16cex:durableId="4E39CCFD" w16cex:dateUtc="2025-05-28T07:47:00Z"/>
  <w16cex:commentExtensible w16cex:durableId="6EADDA1D" w16cex:dateUtc="2025-05-28T07:41:00Z"/>
  <w16cex:commentExtensible w16cex:durableId="31C16B38" w16cex:dateUtc="2025-05-28T07:41:00Z"/>
  <w16cex:commentExtensible w16cex:durableId="2501C860" w16cex:dateUtc="2025-05-28T07:42:00Z"/>
  <w16cex:commentExtensible w16cex:durableId="02D0A73A" w16cex:dateUtc="2025-05-28T07:47:00Z"/>
  <w16cex:commentExtensible w16cex:durableId="556FDE26" w16cex:dateUtc="2025-05-28T07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B12C7" w14:textId="77777777" w:rsidR="00F90533" w:rsidRDefault="00F90533" w:rsidP="000D7AD6">
      <w:pPr>
        <w:spacing w:after="0" w:line="240" w:lineRule="auto"/>
      </w:pPr>
      <w:r>
        <w:separator/>
      </w:r>
    </w:p>
  </w:endnote>
  <w:endnote w:type="continuationSeparator" w:id="0">
    <w:p w14:paraId="36C029B5" w14:textId="77777777" w:rsidR="00F90533" w:rsidRDefault="00F90533" w:rsidP="000D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8F91B" w14:textId="77777777" w:rsidR="00F90533" w:rsidRDefault="00F90533" w:rsidP="000D7AD6">
      <w:pPr>
        <w:spacing w:after="0" w:line="240" w:lineRule="auto"/>
      </w:pPr>
      <w:r>
        <w:separator/>
      </w:r>
    </w:p>
  </w:footnote>
  <w:footnote w:type="continuationSeparator" w:id="0">
    <w:p w14:paraId="64B4B5C4" w14:textId="77777777" w:rsidR="00F90533" w:rsidRDefault="00F90533" w:rsidP="000D7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460C0"/>
    <w:rsid w:val="000D7AD6"/>
    <w:rsid w:val="00107368"/>
    <w:rsid w:val="00113BB7"/>
    <w:rsid w:val="001A1B65"/>
    <w:rsid w:val="002017E6"/>
    <w:rsid w:val="00225796"/>
    <w:rsid w:val="002631AD"/>
    <w:rsid w:val="00294059"/>
    <w:rsid w:val="002C29F0"/>
    <w:rsid w:val="003206E4"/>
    <w:rsid w:val="00342914"/>
    <w:rsid w:val="0039026D"/>
    <w:rsid w:val="00395995"/>
    <w:rsid w:val="003A6D5C"/>
    <w:rsid w:val="004154C5"/>
    <w:rsid w:val="004471AE"/>
    <w:rsid w:val="004A51B6"/>
    <w:rsid w:val="004C3EE0"/>
    <w:rsid w:val="004C43E3"/>
    <w:rsid w:val="004D3824"/>
    <w:rsid w:val="00510CF8"/>
    <w:rsid w:val="00572986"/>
    <w:rsid w:val="00575A29"/>
    <w:rsid w:val="00601754"/>
    <w:rsid w:val="006165AD"/>
    <w:rsid w:val="0062326A"/>
    <w:rsid w:val="0062729C"/>
    <w:rsid w:val="006869C1"/>
    <w:rsid w:val="006879B9"/>
    <w:rsid w:val="006A34BE"/>
    <w:rsid w:val="006F3F1C"/>
    <w:rsid w:val="006F65A9"/>
    <w:rsid w:val="007141F2"/>
    <w:rsid w:val="007561D8"/>
    <w:rsid w:val="00795378"/>
    <w:rsid w:val="00796206"/>
    <w:rsid w:val="007C367E"/>
    <w:rsid w:val="007F2F73"/>
    <w:rsid w:val="008071C5"/>
    <w:rsid w:val="008409E6"/>
    <w:rsid w:val="00852087"/>
    <w:rsid w:val="008C2D54"/>
    <w:rsid w:val="00906D34"/>
    <w:rsid w:val="009175DC"/>
    <w:rsid w:val="0092773F"/>
    <w:rsid w:val="00933DC9"/>
    <w:rsid w:val="00936D4C"/>
    <w:rsid w:val="00947A02"/>
    <w:rsid w:val="009523F9"/>
    <w:rsid w:val="009650DF"/>
    <w:rsid w:val="00976620"/>
    <w:rsid w:val="009B1CBB"/>
    <w:rsid w:val="00A0516D"/>
    <w:rsid w:val="00A26B12"/>
    <w:rsid w:val="00A7252E"/>
    <w:rsid w:val="00AC1F79"/>
    <w:rsid w:val="00AF4929"/>
    <w:rsid w:val="00B4721D"/>
    <w:rsid w:val="00B80840"/>
    <w:rsid w:val="00B8473A"/>
    <w:rsid w:val="00C21815"/>
    <w:rsid w:val="00C315D2"/>
    <w:rsid w:val="00C353D8"/>
    <w:rsid w:val="00C43FDE"/>
    <w:rsid w:val="00C646E1"/>
    <w:rsid w:val="00CB54CA"/>
    <w:rsid w:val="00CF5A91"/>
    <w:rsid w:val="00D02BB1"/>
    <w:rsid w:val="00D20FCC"/>
    <w:rsid w:val="00D45A74"/>
    <w:rsid w:val="00D46DFF"/>
    <w:rsid w:val="00D665DC"/>
    <w:rsid w:val="00D7428F"/>
    <w:rsid w:val="00DD48E3"/>
    <w:rsid w:val="00DE0B12"/>
    <w:rsid w:val="00DE5A10"/>
    <w:rsid w:val="00DE652C"/>
    <w:rsid w:val="00DF08DE"/>
    <w:rsid w:val="00E36C23"/>
    <w:rsid w:val="00E72059"/>
    <w:rsid w:val="00EA2FF4"/>
    <w:rsid w:val="00EC3746"/>
    <w:rsid w:val="00F539FB"/>
    <w:rsid w:val="00F85528"/>
    <w:rsid w:val="00F90533"/>
    <w:rsid w:val="00FA2E42"/>
    <w:rsid w:val="00FE241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7AD6"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5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DF08D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F08DE"/>
  </w:style>
  <w:style w:type="character" w:customStyle="1" w:styleId="ac">
    <w:name w:val="コメント文字列 (文字)"/>
    <w:basedOn w:val="a0"/>
    <w:link w:val="ab"/>
    <w:uiPriority w:val="99"/>
    <w:semiHidden/>
    <w:rsid w:val="00DF08DE"/>
  </w:style>
  <w:style w:type="paragraph" w:styleId="ad">
    <w:name w:val="annotation subject"/>
    <w:basedOn w:val="ab"/>
    <w:next w:val="ab"/>
    <w:link w:val="ae"/>
    <w:uiPriority w:val="99"/>
    <w:semiHidden/>
    <w:unhideWhenUsed/>
    <w:rsid w:val="00DF08D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F08D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F08D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F08DE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0D7AD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0D7AD6"/>
  </w:style>
  <w:style w:type="paragraph" w:styleId="af3">
    <w:name w:val="footer"/>
    <w:basedOn w:val="a"/>
    <w:link w:val="af4"/>
    <w:uiPriority w:val="99"/>
    <w:unhideWhenUsed/>
    <w:rsid w:val="000D7AD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0D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450</Words>
  <Characters>2678</Characters>
  <Application>Microsoft Office Word</Application>
  <DocSecurity>0</DocSecurity>
  <Lines>43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前田　絢子</cp:lastModifiedBy>
  <cp:revision>27</cp:revision>
  <dcterms:created xsi:type="dcterms:W3CDTF">2025-03-11T02:17:00Z</dcterms:created>
  <dcterms:modified xsi:type="dcterms:W3CDTF">2025-05-29T05:55:00Z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  <property fmtid="{D5CDD505-2E9C-101B-9397-08002B2CF9AE}" pid="4" name="GrammarlyDocumentId">
    <vt:lpwstr>afe81a3b-1005-4567-9308-1bec371ccfda</vt:lpwstr>
  </property>
</Properties>
</file>