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334" w14:textId="15EB8CDA" w:rsidR="00A60356" w:rsidRPr="00C53406" w:rsidRDefault="00A60356" w:rsidP="00A60356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C53406">
        <w:rPr>
          <w:rFonts w:ascii="Calibri" w:hAnsi="Calibri" w:cs="Calibri"/>
          <w:b/>
          <w:bCs/>
          <w:sz w:val="20"/>
          <w:szCs w:val="20"/>
        </w:rPr>
        <w:t>Organisms, Resistance, and Antimicrobial Efficacy in Urinary Tract Infection: A Systematic Review</w:t>
      </w:r>
    </w:p>
    <w:p w14:paraId="42774416" w14:textId="77777777" w:rsidR="00A60356" w:rsidRPr="003E60A9" w:rsidRDefault="00A60356" w:rsidP="00A60356">
      <w:pPr>
        <w:jc w:val="both"/>
        <w:rPr>
          <w:rFonts w:ascii="Calibri" w:hAnsi="Calibri" w:cs="Calibri"/>
          <w:sz w:val="20"/>
          <w:szCs w:val="20"/>
        </w:rPr>
      </w:pPr>
      <w:r w:rsidRPr="003E60A9">
        <w:rPr>
          <w:rFonts w:ascii="Calibri" w:hAnsi="Calibri" w:cs="Calibri"/>
          <w:sz w:val="20"/>
          <w:szCs w:val="20"/>
        </w:rPr>
        <w:t>Saibal Das</w:t>
      </w:r>
      <w:r w:rsidRPr="003E60A9">
        <w:rPr>
          <w:rFonts w:ascii="Calibri" w:hAnsi="Calibri" w:cs="Calibri"/>
          <w:sz w:val="20"/>
          <w:szCs w:val="20"/>
          <w:vertAlign w:val="superscript"/>
        </w:rPr>
        <w:t>1,2</w:t>
      </w:r>
      <w:r w:rsidRPr="003E60A9">
        <w:rPr>
          <w:rFonts w:ascii="Calibri" w:hAnsi="Calibri" w:cs="Calibri"/>
          <w:sz w:val="20"/>
          <w:szCs w:val="20"/>
        </w:rPr>
        <w:t>, Mihir Bhatta</w:t>
      </w:r>
      <w:r w:rsidRPr="003E60A9">
        <w:rPr>
          <w:rFonts w:ascii="Calibri" w:hAnsi="Calibri" w:cs="Calibri"/>
          <w:sz w:val="20"/>
          <w:szCs w:val="20"/>
          <w:vertAlign w:val="superscript"/>
        </w:rPr>
        <w:t>1</w:t>
      </w:r>
      <w:r w:rsidRPr="003E60A9">
        <w:rPr>
          <w:rFonts w:ascii="Calibri" w:hAnsi="Calibri" w:cs="Calibri"/>
          <w:sz w:val="20"/>
          <w:szCs w:val="20"/>
        </w:rPr>
        <w:t>, Indranil Saha</w:t>
      </w:r>
      <w:r w:rsidRPr="003E60A9">
        <w:rPr>
          <w:rFonts w:ascii="Calibri" w:hAnsi="Calibri" w:cs="Calibri"/>
          <w:sz w:val="20"/>
          <w:szCs w:val="20"/>
          <w:vertAlign w:val="superscript"/>
        </w:rPr>
        <w:t xml:space="preserve">1 </w:t>
      </w:r>
      <w:r w:rsidRPr="003E60A9">
        <w:rPr>
          <w:rFonts w:ascii="Calibri" w:hAnsi="Calibri" w:cs="Calibri"/>
          <w:sz w:val="20"/>
          <w:szCs w:val="20"/>
        </w:rPr>
        <w:t>(ICMR – National Institute for Research in Bacterial Infections</w:t>
      </w:r>
      <w:r w:rsidRPr="003E60A9">
        <w:rPr>
          <w:rFonts w:ascii="Calibri" w:hAnsi="Calibri" w:cs="Calibri"/>
          <w:sz w:val="20"/>
          <w:szCs w:val="20"/>
          <w:vertAlign w:val="superscript"/>
        </w:rPr>
        <w:t>1</w:t>
      </w:r>
      <w:r w:rsidRPr="003E60A9">
        <w:rPr>
          <w:rFonts w:ascii="Calibri" w:hAnsi="Calibri" w:cs="Calibri"/>
          <w:sz w:val="20"/>
          <w:szCs w:val="20"/>
        </w:rPr>
        <w:t>, Kolkata, India; Department of Global Public Health, Karolinska Institutet</w:t>
      </w:r>
      <w:r w:rsidRPr="003E60A9">
        <w:rPr>
          <w:rFonts w:ascii="Calibri" w:hAnsi="Calibri" w:cs="Calibri"/>
          <w:sz w:val="20"/>
          <w:szCs w:val="20"/>
          <w:vertAlign w:val="superscript"/>
        </w:rPr>
        <w:t>2</w:t>
      </w:r>
      <w:r w:rsidRPr="003E60A9">
        <w:rPr>
          <w:rFonts w:ascii="Calibri" w:hAnsi="Calibri" w:cs="Calibri"/>
          <w:sz w:val="20"/>
          <w:szCs w:val="20"/>
        </w:rPr>
        <w:t>, Stockholm, Sweden)</w:t>
      </w:r>
    </w:p>
    <w:p w14:paraId="747BE3CB" w14:textId="77777777" w:rsidR="00A60356" w:rsidRPr="003E60A9" w:rsidRDefault="00A60356" w:rsidP="00A60356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FDEE0DA" w14:textId="77777777" w:rsidR="00A60356" w:rsidRPr="003E60A9" w:rsidRDefault="00A60356" w:rsidP="00A60356">
      <w:pPr>
        <w:jc w:val="both"/>
        <w:rPr>
          <w:rFonts w:ascii="Calibri" w:hAnsi="Calibri" w:cs="Calibri"/>
          <w:sz w:val="20"/>
          <w:szCs w:val="20"/>
        </w:rPr>
      </w:pPr>
      <w:r w:rsidRPr="003E60A9">
        <w:rPr>
          <w:rFonts w:ascii="Calibri" w:hAnsi="Calibri" w:cs="Calibri"/>
          <w:b/>
          <w:bCs/>
          <w:sz w:val="20"/>
          <w:szCs w:val="20"/>
        </w:rPr>
        <w:t xml:space="preserve">Introduction: </w:t>
      </w:r>
      <w:r w:rsidRPr="003E60A9">
        <w:rPr>
          <w:rFonts w:ascii="Calibri" w:hAnsi="Calibri" w:cs="Calibri"/>
          <w:sz w:val="20"/>
          <w:szCs w:val="20"/>
        </w:rPr>
        <w:t xml:space="preserve">Urinary tract infections (UTIs) remain a leading infectious disease burden in India, with increasing antimicrobial resistance (AMR) limiting treatment success. </w:t>
      </w:r>
    </w:p>
    <w:p w14:paraId="3464D9A5" w14:textId="227E1146" w:rsidR="00A60356" w:rsidRPr="003E60A9" w:rsidRDefault="00A60356" w:rsidP="00A60356">
      <w:pPr>
        <w:jc w:val="both"/>
        <w:rPr>
          <w:rFonts w:ascii="Calibri" w:hAnsi="Calibri" w:cs="Calibri"/>
          <w:sz w:val="20"/>
          <w:szCs w:val="20"/>
        </w:rPr>
      </w:pPr>
      <w:r w:rsidRPr="003E60A9">
        <w:rPr>
          <w:rFonts w:ascii="Calibri" w:hAnsi="Calibri" w:cs="Calibri"/>
          <w:b/>
          <w:bCs/>
          <w:sz w:val="20"/>
          <w:szCs w:val="20"/>
        </w:rPr>
        <w:t>Aim:</w:t>
      </w:r>
      <w:r w:rsidRPr="003E60A9">
        <w:rPr>
          <w:rFonts w:ascii="Calibri" w:hAnsi="Calibri" w:cs="Calibri"/>
          <w:sz w:val="20"/>
          <w:szCs w:val="20"/>
        </w:rPr>
        <w:t xml:space="preserve"> This systematic review and meta-analysis were conducted to synthesize evidence on causative organisms, their antimicrobial</w:t>
      </w:r>
      <w:r w:rsidRPr="003E60A9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3E60A9">
        <w:rPr>
          <w:rFonts w:ascii="Calibri" w:hAnsi="Calibri" w:cs="Calibri"/>
          <w:sz w:val="20"/>
          <w:szCs w:val="20"/>
        </w:rPr>
        <w:t>resistance patterns, and comparative efficacy of different antimicrobials in urinary tract infections in India.</w:t>
      </w:r>
    </w:p>
    <w:p w14:paraId="1BFE6F9A" w14:textId="1F1057BF" w:rsidR="00A60356" w:rsidRPr="003E60A9" w:rsidRDefault="00A60356" w:rsidP="00A60356">
      <w:pPr>
        <w:jc w:val="both"/>
        <w:rPr>
          <w:rFonts w:ascii="Calibri" w:hAnsi="Calibri" w:cs="Calibri"/>
          <w:sz w:val="20"/>
          <w:szCs w:val="20"/>
        </w:rPr>
      </w:pPr>
      <w:r w:rsidRPr="003E60A9">
        <w:rPr>
          <w:rFonts w:ascii="Calibri" w:hAnsi="Calibri" w:cs="Calibri"/>
          <w:b/>
          <w:bCs/>
          <w:sz w:val="20"/>
          <w:szCs w:val="20"/>
        </w:rPr>
        <w:t xml:space="preserve">Methods: </w:t>
      </w:r>
      <w:r w:rsidRPr="003E60A9">
        <w:rPr>
          <w:rFonts w:ascii="Calibri" w:hAnsi="Calibri" w:cs="Calibri"/>
          <w:sz w:val="20"/>
          <w:szCs w:val="20"/>
        </w:rPr>
        <w:t xml:space="preserve">PubMed, Embase, Cochrane CENTRAL, and Scopus were searched (2000–2025). Observational studies and randomized controlled trials (RCTs) were included. Random-effects models were used to generate pooled </w:t>
      </w:r>
      <w:r w:rsidR="003C14C9">
        <w:rPr>
          <w:rFonts w:ascii="Calibri" w:hAnsi="Calibri" w:cs="Calibri"/>
          <w:sz w:val="20"/>
          <w:szCs w:val="20"/>
        </w:rPr>
        <w:t>estimates</w:t>
      </w:r>
      <w:r w:rsidRPr="003E60A9">
        <w:rPr>
          <w:rFonts w:ascii="Calibri" w:hAnsi="Calibri" w:cs="Calibri"/>
          <w:sz w:val="20"/>
          <w:szCs w:val="20"/>
        </w:rPr>
        <w:t xml:space="preserve"> and heterogeneity measures</w:t>
      </w:r>
      <w:r w:rsidR="009D0284">
        <w:rPr>
          <w:rFonts w:ascii="Calibri" w:hAnsi="Calibri" w:cs="Calibri"/>
          <w:sz w:val="20"/>
          <w:szCs w:val="20"/>
        </w:rPr>
        <w:t xml:space="preserve"> (</w:t>
      </w:r>
      <w:r w:rsidR="009D0284" w:rsidRPr="003E60A9">
        <w:rPr>
          <w:rFonts w:ascii="Calibri" w:hAnsi="Calibri" w:cs="Calibri"/>
          <w:sz w:val="20"/>
          <w:szCs w:val="20"/>
        </w:rPr>
        <w:t>I²</w:t>
      </w:r>
      <w:r w:rsidR="009D0284">
        <w:rPr>
          <w:rFonts w:ascii="Calibri" w:hAnsi="Calibri" w:cs="Calibri"/>
          <w:sz w:val="20"/>
          <w:szCs w:val="20"/>
        </w:rPr>
        <w:t xml:space="preserve"> statistics)</w:t>
      </w:r>
      <w:r w:rsidR="008660B4">
        <w:rPr>
          <w:rFonts w:ascii="Calibri" w:hAnsi="Calibri" w:cs="Calibri"/>
          <w:sz w:val="20"/>
          <w:szCs w:val="20"/>
        </w:rPr>
        <w:t xml:space="preserve">. </w:t>
      </w:r>
      <w:r w:rsidRPr="003E60A9">
        <w:rPr>
          <w:rFonts w:ascii="Calibri" w:hAnsi="Calibri" w:cs="Calibri"/>
          <w:sz w:val="20"/>
          <w:szCs w:val="20"/>
        </w:rPr>
        <w:t xml:space="preserve">The outcomes were: burden of UTI, causative organisms, and their resistance patterns </w:t>
      </w:r>
      <w:r w:rsidR="00121BAC">
        <w:rPr>
          <w:rFonts w:ascii="Calibri" w:hAnsi="Calibri" w:cs="Calibri"/>
          <w:sz w:val="20"/>
          <w:szCs w:val="20"/>
        </w:rPr>
        <w:t>(</w:t>
      </w:r>
      <w:r w:rsidR="00D12B4F">
        <w:rPr>
          <w:rFonts w:ascii="Calibri" w:hAnsi="Calibri" w:cs="Calibri"/>
          <w:sz w:val="20"/>
          <w:szCs w:val="20"/>
        </w:rPr>
        <w:t>observational studies</w:t>
      </w:r>
      <w:r w:rsidR="00121BAC">
        <w:rPr>
          <w:rFonts w:ascii="Calibri" w:hAnsi="Calibri" w:cs="Calibri"/>
          <w:sz w:val="20"/>
          <w:szCs w:val="20"/>
        </w:rPr>
        <w:t>)</w:t>
      </w:r>
      <w:r w:rsidR="00D12B4F">
        <w:rPr>
          <w:rFonts w:ascii="Calibri" w:hAnsi="Calibri" w:cs="Calibri"/>
          <w:sz w:val="20"/>
          <w:szCs w:val="20"/>
        </w:rPr>
        <w:t xml:space="preserve">; and </w:t>
      </w:r>
      <w:r w:rsidRPr="003E60A9">
        <w:rPr>
          <w:rFonts w:ascii="Calibri" w:hAnsi="Calibri" w:cs="Calibri"/>
          <w:sz w:val="20"/>
          <w:szCs w:val="20"/>
        </w:rPr>
        <w:t xml:space="preserve">clinical cure rate, composite cure rate, and bacteriological eradication rate </w:t>
      </w:r>
      <w:r w:rsidR="00F30404" w:rsidRPr="003E60A9">
        <w:rPr>
          <w:rFonts w:ascii="Calibri" w:hAnsi="Calibri" w:cs="Calibri"/>
          <w:sz w:val="20"/>
          <w:szCs w:val="20"/>
        </w:rPr>
        <w:t>(</w:t>
      </w:r>
      <w:r w:rsidR="00F30404">
        <w:rPr>
          <w:rFonts w:ascii="Calibri" w:hAnsi="Calibri" w:cs="Calibri"/>
          <w:sz w:val="20"/>
          <w:szCs w:val="20"/>
        </w:rPr>
        <w:t xml:space="preserve">RCTs; </w:t>
      </w:r>
      <w:r w:rsidR="00F30404">
        <w:rPr>
          <w:rFonts w:ascii="Calibri" w:hAnsi="Calibri" w:cs="Calibri"/>
          <w:sz w:val="20"/>
          <w:szCs w:val="20"/>
        </w:rPr>
        <w:t xml:space="preserve">relative risk </w:t>
      </w:r>
      <w:r w:rsidR="00F30404">
        <w:rPr>
          <w:rFonts w:ascii="Calibri" w:hAnsi="Calibri" w:cs="Calibri"/>
          <w:sz w:val="20"/>
          <w:szCs w:val="20"/>
        </w:rPr>
        <w:t>[RR]</w:t>
      </w:r>
      <w:r w:rsidR="00706F17">
        <w:rPr>
          <w:rFonts w:ascii="Calibri" w:hAnsi="Calibri" w:cs="Calibri"/>
          <w:sz w:val="20"/>
          <w:szCs w:val="20"/>
        </w:rPr>
        <w:t>)</w:t>
      </w:r>
      <w:r w:rsidR="00A80E6A">
        <w:rPr>
          <w:rFonts w:ascii="Calibri" w:hAnsi="Calibri" w:cs="Calibri"/>
          <w:sz w:val="20"/>
          <w:szCs w:val="20"/>
        </w:rPr>
        <w:t xml:space="preserve"> (</w:t>
      </w:r>
      <w:r w:rsidRPr="003E60A9">
        <w:rPr>
          <w:rFonts w:ascii="Calibri" w:hAnsi="Calibri" w:cs="Calibri"/>
          <w:sz w:val="20"/>
          <w:szCs w:val="20"/>
        </w:rPr>
        <w:t xml:space="preserve">PROSPERO </w:t>
      </w:r>
      <w:r w:rsidR="00A80E6A">
        <w:rPr>
          <w:rFonts w:ascii="Calibri" w:hAnsi="Calibri" w:cs="Calibri"/>
          <w:sz w:val="20"/>
          <w:szCs w:val="20"/>
        </w:rPr>
        <w:t xml:space="preserve">registration: </w:t>
      </w:r>
      <w:r w:rsidRPr="003E60A9">
        <w:rPr>
          <w:rFonts w:ascii="Calibri" w:hAnsi="Calibri" w:cs="Calibri"/>
          <w:sz w:val="20"/>
          <w:szCs w:val="20"/>
        </w:rPr>
        <w:t>CRD42025635131 and CRD42025635146).</w:t>
      </w:r>
    </w:p>
    <w:p w14:paraId="0B0C2690" w14:textId="3CB7B092" w:rsidR="00A60356" w:rsidRPr="008E413B" w:rsidRDefault="00A60356" w:rsidP="00A60356">
      <w:pPr>
        <w:jc w:val="both"/>
        <w:rPr>
          <w:rFonts w:ascii="Calibri" w:hAnsi="Calibri" w:cs="Calibri"/>
          <w:sz w:val="20"/>
          <w:szCs w:val="20"/>
        </w:rPr>
      </w:pPr>
      <w:r w:rsidRPr="003E60A9">
        <w:rPr>
          <w:rFonts w:ascii="Calibri" w:hAnsi="Calibri" w:cs="Calibri"/>
          <w:b/>
          <w:bCs/>
          <w:sz w:val="20"/>
          <w:szCs w:val="20"/>
        </w:rPr>
        <w:t xml:space="preserve">Results: </w:t>
      </w:r>
      <w:r w:rsidRPr="00FA6F6A">
        <w:rPr>
          <w:rFonts w:ascii="Calibri" w:hAnsi="Calibri" w:cs="Calibri"/>
          <w:sz w:val="20"/>
          <w:szCs w:val="20"/>
        </w:rPr>
        <w:t xml:space="preserve">A total of 250 observational studies (n=88,801) and </w:t>
      </w:r>
      <w:r w:rsidRPr="003E60A9">
        <w:rPr>
          <w:rFonts w:ascii="Calibri" w:hAnsi="Calibri" w:cs="Calibri"/>
          <w:sz w:val="20"/>
          <w:szCs w:val="20"/>
        </w:rPr>
        <w:t>9</w:t>
      </w:r>
      <w:r w:rsidRPr="00FA6F6A">
        <w:rPr>
          <w:rFonts w:ascii="Calibri" w:hAnsi="Calibri" w:cs="Calibri"/>
          <w:sz w:val="20"/>
          <w:szCs w:val="20"/>
        </w:rPr>
        <w:t xml:space="preserve"> RCTs </w:t>
      </w:r>
      <w:r w:rsidRPr="003E60A9">
        <w:rPr>
          <w:rFonts w:ascii="Calibri" w:hAnsi="Calibri" w:cs="Calibri"/>
          <w:sz w:val="20"/>
          <w:szCs w:val="20"/>
        </w:rPr>
        <w:t xml:space="preserve">(n=914) </w:t>
      </w:r>
      <w:r w:rsidRPr="00FA6F6A">
        <w:rPr>
          <w:rFonts w:ascii="Calibri" w:hAnsi="Calibri" w:cs="Calibri"/>
          <w:sz w:val="20"/>
          <w:szCs w:val="20"/>
        </w:rPr>
        <w:t xml:space="preserve">were included. </w:t>
      </w:r>
      <w:r w:rsidRPr="003E60A9">
        <w:rPr>
          <w:rFonts w:ascii="Calibri" w:hAnsi="Calibri" w:cs="Calibri"/>
          <w:sz w:val="20"/>
          <w:szCs w:val="20"/>
        </w:rPr>
        <w:t xml:space="preserve">Most of the studies showed </w:t>
      </w:r>
      <w:r w:rsidR="00706F17">
        <w:rPr>
          <w:rFonts w:ascii="Calibri" w:hAnsi="Calibri" w:cs="Calibri"/>
          <w:sz w:val="20"/>
          <w:szCs w:val="20"/>
        </w:rPr>
        <w:t xml:space="preserve">a </w:t>
      </w:r>
      <w:r w:rsidRPr="003E60A9">
        <w:rPr>
          <w:rFonts w:ascii="Calibri" w:hAnsi="Calibri" w:cs="Calibri"/>
          <w:sz w:val="20"/>
          <w:szCs w:val="20"/>
        </w:rPr>
        <w:t xml:space="preserve">moderate risk of bias. </w:t>
      </w:r>
      <w:r w:rsidRPr="00FA6F6A">
        <w:rPr>
          <w:rFonts w:ascii="Calibri" w:hAnsi="Calibri" w:cs="Calibri"/>
          <w:sz w:val="20"/>
          <w:szCs w:val="20"/>
        </w:rPr>
        <w:t xml:space="preserve">The pooled prevalence of UTIs was 32% (95% CI: 28–35%; I²=98.9%). </w:t>
      </w:r>
      <w:r w:rsidRPr="00FA6F6A">
        <w:rPr>
          <w:rFonts w:ascii="Calibri" w:hAnsi="Calibri" w:cs="Calibri"/>
          <w:i/>
          <w:iCs/>
          <w:sz w:val="20"/>
          <w:szCs w:val="20"/>
        </w:rPr>
        <w:t>Escherichia coli</w:t>
      </w:r>
      <w:r w:rsidRPr="00FA6F6A">
        <w:rPr>
          <w:rFonts w:ascii="Calibri" w:hAnsi="Calibri" w:cs="Calibri"/>
          <w:sz w:val="20"/>
          <w:szCs w:val="20"/>
        </w:rPr>
        <w:t xml:space="preserve"> remained the dominant pathogen</w:t>
      </w:r>
      <w:r w:rsidR="00706F17">
        <w:rPr>
          <w:rFonts w:ascii="Calibri" w:hAnsi="Calibri" w:cs="Calibri"/>
          <w:sz w:val="20"/>
          <w:szCs w:val="20"/>
        </w:rPr>
        <w:t xml:space="preserve"> [</w:t>
      </w:r>
      <w:r w:rsidRPr="00FA6F6A">
        <w:rPr>
          <w:rFonts w:ascii="Calibri" w:hAnsi="Calibri" w:cs="Calibri"/>
          <w:sz w:val="20"/>
          <w:szCs w:val="20"/>
        </w:rPr>
        <w:t>52% (95% CI: 48–55</w:t>
      </w:r>
      <w:r w:rsidRPr="003E60A9">
        <w:rPr>
          <w:rFonts w:ascii="Calibri" w:hAnsi="Calibri" w:cs="Calibri"/>
          <w:sz w:val="20"/>
          <w:szCs w:val="20"/>
        </w:rPr>
        <w:t xml:space="preserve">; </w:t>
      </w:r>
      <w:r w:rsidRPr="00FA6F6A">
        <w:rPr>
          <w:rFonts w:ascii="Calibri" w:hAnsi="Calibri" w:cs="Calibri"/>
          <w:sz w:val="20"/>
          <w:szCs w:val="20"/>
        </w:rPr>
        <w:t>I²=9</w:t>
      </w:r>
      <w:r w:rsidRPr="003E60A9">
        <w:rPr>
          <w:rFonts w:ascii="Calibri" w:hAnsi="Calibri" w:cs="Calibri"/>
          <w:sz w:val="20"/>
          <w:szCs w:val="20"/>
        </w:rPr>
        <w:t>6</w:t>
      </w:r>
      <w:r w:rsidRPr="00FA6F6A">
        <w:rPr>
          <w:rFonts w:ascii="Calibri" w:hAnsi="Calibri" w:cs="Calibri"/>
          <w:sz w:val="20"/>
          <w:szCs w:val="20"/>
        </w:rPr>
        <w:t>.</w:t>
      </w:r>
      <w:r w:rsidRPr="003E60A9">
        <w:rPr>
          <w:rFonts w:ascii="Calibri" w:hAnsi="Calibri" w:cs="Calibri"/>
          <w:sz w:val="20"/>
          <w:szCs w:val="20"/>
        </w:rPr>
        <w:t>4</w:t>
      </w:r>
      <w:r w:rsidRPr="00FA6F6A">
        <w:rPr>
          <w:rFonts w:ascii="Calibri" w:hAnsi="Calibri" w:cs="Calibri"/>
          <w:sz w:val="20"/>
          <w:szCs w:val="20"/>
        </w:rPr>
        <w:t>%)</w:t>
      </w:r>
      <w:r w:rsidR="00706F17">
        <w:rPr>
          <w:rFonts w:ascii="Calibri" w:hAnsi="Calibri" w:cs="Calibri"/>
          <w:sz w:val="20"/>
          <w:szCs w:val="20"/>
        </w:rPr>
        <w:t>]</w:t>
      </w:r>
      <w:r w:rsidRPr="00FA6F6A">
        <w:rPr>
          <w:rFonts w:ascii="Calibri" w:hAnsi="Calibri" w:cs="Calibri"/>
          <w:sz w:val="20"/>
          <w:szCs w:val="20"/>
        </w:rPr>
        <w:t xml:space="preserve">, followed by </w:t>
      </w:r>
      <w:r w:rsidRPr="00FA6F6A">
        <w:rPr>
          <w:rFonts w:ascii="Calibri" w:hAnsi="Calibri" w:cs="Calibri"/>
          <w:i/>
          <w:iCs/>
          <w:sz w:val="20"/>
          <w:szCs w:val="20"/>
        </w:rPr>
        <w:t>Klebsiella</w:t>
      </w:r>
      <w:r w:rsidRPr="00FA6F6A">
        <w:rPr>
          <w:rFonts w:ascii="Calibri" w:hAnsi="Calibri" w:cs="Calibri"/>
          <w:sz w:val="20"/>
          <w:szCs w:val="20"/>
        </w:rPr>
        <w:t xml:space="preserve"> spp. (15%), </w:t>
      </w:r>
      <w:r w:rsidRPr="00FA6F6A">
        <w:rPr>
          <w:rFonts w:ascii="Calibri" w:hAnsi="Calibri" w:cs="Calibri"/>
          <w:i/>
          <w:iCs/>
          <w:sz w:val="20"/>
          <w:szCs w:val="20"/>
        </w:rPr>
        <w:t>Pseudomonas aeruginosa</w:t>
      </w:r>
      <w:r w:rsidRPr="00FA6F6A">
        <w:rPr>
          <w:rFonts w:ascii="Calibri" w:hAnsi="Calibri" w:cs="Calibri"/>
          <w:sz w:val="20"/>
          <w:szCs w:val="20"/>
        </w:rPr>
        <w:t xml:space="preserve"> (8%), and </w:t>
      </w:r>
      <w:r w:rsidRPr="00FA6F6A">
        <w:rPr>
          <w:rFonts w:ascii="Calibri" w:hAnsi="Calibri" w:cs="Calibri"/>
          <w:i/>
          <w:iCs/>
          <w:sz w:val="20"/>
          <w:szCs w:val="20"/>
        </w:rPr>
        <w:t>Staphylococcus aureus</w:t>
      </w:r>
      <w:r w:rsidRPr="00FA6F6A">
        <w:rPr>
          <w:rFonts w:ascii="Calibri" w:hAnsi="Calibri" w:cs="Calibri"/>
          <w:sz w:val="20"/>
          <w:szCs w:val="20"/>
        </w:rPr>
        <w:t xml:space="preserve"> (7%). Fluoroquinolone resistance in </w:t>
      </w:r>
      <w:r w:rsidRPr="00FA6F6A">
        <w:rPr>
          <w:rFonts w:ascii="Calibri" w:hAnsi="Calibri" w:cs="Calibri"/>
          <w:i/>
          <w:iCs/>
          <w:sz w:val="20"/>
          <w:szCs w:val="20"/>
        </w:rPr>
        <w:t>E. coli</w:t>
      </w:r>
      <w:r w:rsidRPr="00FA6F6A">
        <w:rPr>
          <w:rFonts w:ascii="Calibri" w:hAnsi="Calibri" w:cs="Calibri"/>
          <w:sz w:val="20"/>
          <w:szCs w:val="20"/>
        </w:rPr>
        <w:t xml:space="preserve"> and </w:t>
      </w:r>
      <w:r w:rsidRPr="00FA6F6A">
        <w:rPr>
          <w:rFonts w:ascii="Calibri" w:hAnsi="Calibri" w:cs="Calibri"/>
          <w:i/>
          <w:iCs/>
          <w:sz w:val="20"/>
          <w:szCs w:val="20"/>
        </w:rPr>
        <w:t>Klebsiella</w:t>
      </w:r>
      <w:r w:rsidRPr="00FA6F6A">
        <w:rPr>
          <w:rFonts w:ascii="Calibri" w:hAnsi="Calibri" w:cs="Calibri"/>
          <w:sz w:val="20"/>
          <w:szCs w:val="20"/>
        </w:rPr>
        <w:t xml:space="preserve"> increased from </w:t>
      </w:r>
      <w:r w:rsidR="00313BA5">
        <w:rPr>
          <w:rFonts w:ascii="Calibri" w:hAnsi="Calibri" w:cs="Calibri"/>
          <w:sz w:val="20"/>
          <w:szCs w:val="20"/>
        </w:rPr>
        <w:t>~</w:t>
      </w:r>
      <w:r w:rsidRPr="00FA6F6A">
        <w:rPr>
          <w:rFonts w:ascii="Calibri" w:hAnsi="Calibri" w:cs="Calibri"/>
          <w:sz w:val="20"/>
          <w:szCs w:val="20"/>
        </w:rPr>
        <w:t xml:space="preserve">40% in the early 2000s to </w:t>
      </w:r>
      <w:r w:rsidR="00313BA5">
        <w:rPr>
          <w:rFonts w:ascii="Calibri" w:hAnsi="Calibri" w:cs="Calibri"/>
          <w:sz w:val="20"/>
          <w:szCs w:val="20"/>
        </w:rPr>
        <w:t>&gt;</w:t>
      </w:r>
      <w:r w:rsidRPr="00FA6F6A">
        <w:rPr>
          <w:rFonts w:ascii="Calibri" w:hAnsi="Calibri" w:cs="Calibri"/>
          <w:sz w:val="20"/>
          <w:szCs w:val="20"/>
        </w:rPr>
        <w:t xml:space="preserve">85% by 2024. Cephalosporin resistance surpassed 70% nationwide, largely driven by extended-spectrum beta-lactamase production. Carbapenem resistance, negligible </w:t>
      </w:r>
      <w:r w:rsidR="00313BA5">
        <w:rPr>
          <w:rFonts w:ascii="Calibri" w:hAnsi="Calibri" w:cs="Calibri"/>
          <w:sz w:val="20"/>
          <w:szCs w:val="20"/>
        </w:rPr>
        <w:t>from</w:t>
      </w:r>
      <w:r w:rsidRPr="00FA6F6A">
        <w:rPr>
          <w:rFonts w:ascii="Calibri" w:hAnsi="Calibri" w:cs="Calibri"/>
          <w:sz w:val="20"/>
          <w:szCs w:val="20"/>
        </w:rPr>
        <w:t xml:space="preserve"> 2000</w:t>
      </w:r>
      <w:r w:rsidR="00A43A55">
        <w:rPr>
          <w:rFonts w:ascii="Calibri" w:hAnsi="Calibri" w:cs="Calibri"/>
          <w:sz w:val="20"/>
          <w:szCs w:val="20"/>
        </w:rPr>
        <w:t xml:space="preserve"> to </w:t>
      </w:r>
      <w:r w:rsidRPr="00FA6F6A">
        <w:rPr>
          <w:rFonts w:ascii="Calibri" w:hAnsi="Calibri" w:cs="Calibri"/>
          <w:sz w:val="20"/>
          <w:szCs w:val="20"/>
        </w:rPr>
        <w:t xml:space="preserve">2010, has risen to 15–30% in intensive care and catheter-associated UTIs. Aminoglycoside resistance increased from </w:t>
      </w:r>
      <w:r w:rsidR="00313BA5">
        <w:rPr>
          <w:rFonts w:ascii="Calibri" w:hAnsi="Calibri" w:cs="Calibri"/>
          <w:sz w:val="20"/>
          <w:szCs w:val="20"/>
        </w:rPr>
        <w:t>~</w:t>
      </w:r>
      <w:r w:rsidRPr="00FA6F6A">
        <w:rPr>
          <w:rFonts w:ascii="Calibri" w:hAnsi="Calibri" w:cs="Calibri"/>
          <w:sz w:val="20"/>
          <w:szCs w:val="20"/>
        </w:rPr>
        <w:t xml:space="preserve">20% to 50% in hospital-acquired infections. In contrast, nitrofurantoin (10–25% resistance) and </w:t>
      </w:r>
      <w:proofErr w:type="spellStart"/>
      <w:r w:rsidRPr="00FA6F6A">
        <w:rPr>
          <w:rFonts w:ascii="Calibri" w:hAnsi="Calibri" w:cs="Calibri"/>
          <w:sz w:val="20"/>
          <w:szCs w:val="20"/>
        </w:rPr>
        <w:t>fosfomycin</w:t>
      </w:r>
      <w:proofErr w:type="spellEnd"/>
      <w:r w:rsidRPr="00FA6F6A">
        <w:rPr>
          <w:rFonts w:ascii="Calibri" w:hAnsi="Calibri" w:cs="Calibri"/>
          <w:sz w:val="20"/>
          <w:szCs w:val="20"/>
        </w:rPr>
        <w:t xml:space="preserve"> (5–20%</w:t>
      </w:r>
      <w:r w:rsidR="00A46462" w:rsidRPr="00A46462">
        <w:rPr>
          <w:rFonts w:ascii="Calibri" w:hAnsi="Calibri" w:cs="Calibri"/>
          <w:sz w:val="20"/>
          <w:szCs w:val="20"/>
        </w:rPr>
        <w:t xml:space="preserve"> </w:t>
      </w:r>
      <w:r w:rsidR="00A46462" w:rsidRPr="00FA6F6A">
        <w:rPr>
          <w:rFonts w:ascii="Calibri" w:hAnsi="Calibri" w:cs="Calibri"/>
          <w:sz w:val="20"/>
          <w:szCs w:val="20"/>
        </w:rPr>
        <w:t>resistance</w:t>
      </w:r>
      <w:r w:rsidRPr="00FA6F6A">
        <w:rPr>
          <w:rFonts w:ascii="Calibri" w:hAnsi="Calibri" w:cs="Calibri"/>
          <w:sz w:val="20"/>
          <w:szCs w:val="20"/>
        </w:rPr>
        <w:t xml:space="preserve">) retained good activity across community and hospital settings. </w:t>
      </w:r>
      <w:r w:rsidRPr="003E60A9">
        <w:rPr>
          <w:rFonts w:ascii="Calibri" w:hAnsi="Calibri" w:cs="Calibri"/>
          <w:sz w:val="20"/>
          <w:szCs w:val="20"/>
        </w:rPr>
        <w:t xml:space="preserve">Clinical cure </w:t>
      </w:r>
      <w:r w:rsidR="00F30404">
        <w:rPr>
          <w:rFonts w:ascii="Calibri" w:hAnsi="Calibri" w:cs="Calibri"/>
          <w:sz w:val="20"/>
          <w:szCs w:val="20"/>
        </w:rPr>
        <w:t>(</w:t>
      </w:r>
      <w:r w:rsidRPr="003E60A9">
        <w:rPr>
          <w:rFonts w:ascii="Calibri" w:hAnsi="Calibri" w:cs="Calibri"/>
          <w:sz w:val="20"/>
          <w:szCs w:val="20"/>
        </w:rPr>
        <w:t>RR</w:t>
      </w:r>
      <w:r w:rsidR="00313BA5">
        <w:rPr>
          <w:rFonts w:ascii="Calibri" w:hAnsi="Calibri" w:cs="Calibri"/>
          <w:sz w:val="20"/>
          <w:szCs w:val="20"/>
        </w:rPr>
        <w:t>:</w:t>
      </w:r>
      <w:r w:rsidRPr="003E60A9">
        <w:rPr>
          <w:rFonts w:ascii="Calibri" w:hAnsi="Calibri" w:cs="Calibri"/>
          <w:sz w:val="20"/>
          <w:szCs w:val="20"/>
        </w:rPr>
        <w:t xml:space="preserve"> 1.12, 95% CI: 0.94–1.32; I²=12%), composite cure (RR</w:t>
      </w:r>
      <w:r w:rsidR="00313BA5">
        <w:rPr>
          <w:rFonts w:ascii="Calibri" w:hAnsi="Calibri" w:cs="Calibri"/>
          <w:sz w:val="20"/>
          <w:szCs w:val="20"/>
        </w:rPr>
        <w:t>:</w:t>
      </w:r>
      <w:r w:rsidRPr="003E60A9">
        <w:rPr>
          <w:rFonts w:ascii="Calibri" w:hAnsi="Calibri" w:cs="Calibri"/>
          <w:sz w:val="20"/>
          <w:szCs w:val="20"/>
        </w:rPr>
        <w:t xml:space="preserve"> 1.08, 95% CI: 0.92–1.26; I²=45.6%), and bacteriological eradication (RR</w:t>
      </w:r>
      <w:r w:rsidR="00313BA5">
        <w:rPr>
          <w:rFonts w:ascii="Calibri" w:hAnsi="Calibri" w:cs="Calibri"/>
          <w:sz w:val="20"/>
          <w:szCs w:val="20"/>
        </w:rPr>
        <w:t>:</w:t>
      </w:r>
      <w:r w:rsidRPr="003E60A9">
        <w:rPr>
          <w:rFonts w:ascii="Calibri" w:hAnsi="Calibri" w:cs="Calibri"/>
          <w:sz w:val="20"/>
          <w:szCs w:val="20"/>
        </w:rPr>
        <w:t xml:space="preserve"> 1.05, 95% CI: 0.82–1.33; I²=39%) favored ceftriaxone-sulbactam-EDTA and nitrofurantoin</w:t>
      </w:r>
      <w:r w:rsidRPr="008E413B">
        <w:rPr>
          <w:rFonts w:ascii="Calibri" w:hAnsi="Calibri" w:cs="Calibri"/>
          <w:sz w:val="20"/>
          <w:szCs w:val="20"/>
        </w:rPr>
        <w:t>.</w:t>
      </w:r>
    </w:p>
    <w:p w14:paraId="3D5533F2" w14:textId="19DDC027" w:rsidR="00F97620" w:rsidRPr="00A60356" w:rsidRDefault="00A60356" w:rsidP="00711813">
      <w:pPr>
        <w:jc w:val="both"/>
        <w:rPr>
          <w:rFonts w:ascii="Calibri" w:hAnsi="Calibri" w:cs="Calibri"/>
          <w:sz w:val="20"/>
          <w:szCs w:val="20"/>
        </w:rPr>
      </w:pPr>
      <w:r w:rsidRPr="003E60A9">
        <w:rPr>
          <w:rFonts w:ascii="Calibri" w:hAnsi="Calibri" w:cs="Calibri"/>
          <w:b/>
          <w:bCs/>
          <w:sz w:val="20"/>
          <w:szCs w:val="20"/>
        </w:rPr>
        <w:t xml:space="preserve">Discussion: </w:t>
      </w:r>
      <w:r w:rsidR="001F52BF" w:rsidRPr="001F52BF">
        <w:rPr>
          <w:rFonts w:ascii="Calibri" w:hAnsi="Calibri" w:cs="Calibri"/>
          <w:sz w:val="20"/>
          <w:szCs w:val="20"/>
        </w:rPr>
        <w:t xml:space="preserve">UTIs in India show stable prevalence but alarming AMR trends. Nitrofurantoin, </w:t>
      </w:r>
      <w:proofErr w:type="spellStart"/>
      <w:r w:rsidR="001F52BF" w:rsidRPr="001F52BF">
        <w:rPr>
          <w:rFonts w:ascii="Calibri" w:hAnsi="Calibri" w:cs="Calibri"/>
          <w:sz w:val="20"/>
          <w:szCs w:val="20"/>
        </w:rPr>
        <w:t>fosfomycin</w:t>
      </w:r>
      <w:proofErr w:type="spellEnd"/>
      <w:r w:rsidR="001F52BF" w:rsidRPr="001F52BF">
        <w:rPr>
          <w:rFonts w:ascii="Calibri" w:hAnsi="Calibri" w:cs="Calibri"/>
          <w:sz w:val="20"/>
          <w:szCs w:val="20"/>
        </w:rPr>
        <w:t xml:space="preserve">, and ceftriaxone-sulbactam-EDTA remain effective, highlighting </w:t>
      </w:r>
      <w:r w:rsidR="00D50DFD">
        <w:rPr>
          <w:rFonts w:ascii="Calibri" w:hAnsi="Calibri" w:cs="Calibri"/>
          <w:sz w:val="20"/>
          <w:szCs w:val="20"/>
        </w:rPr>
        <w:t xml:space="preserve">the </w:t>
      </w:r>
      <w:r w:rsidR="001F52BF" w:rsidRPr="001F52BF">
        <w:rPr>
          <w:rFonts w:ascii="Calibri" w:hAnsi="Calibri" w:cs="Calibri"/>
          <w:sz w:val="20"/>
          <w:szCs w:val="20"/>
        </w:rPr>
        <w:t>urgent need for region-specific stewardship and surveillance.</w:t>
      </w:r>
    </w:p>
    <w:sectPr w:rsidR="00F97620" w:rsidRPr="00A60356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71058"/>
    <w:rsid w:val="00074993"/>
    <w:rsid w:val="000A4FA6"/>
    <w:rsid w:val="000D5FC3"/>
    <w:rsid w:val="00121BAC"/>
    <w:rsid w:val="0018770A"/>
    <w:rsid w:val="001A07D9"/>
    <w:rsid w:val="001F52BF"/>
    <w:rsid w:val="002226BB"/>
    <w:rsid w:val="002272B0"/>
    <w:rsid w:val="00300B92"/>
    <w:rsid w:val="00313BA5"/>
    <w:rsid w:val="003238D9"/>
    <w:rsid w:val="00387491"/>
    <w:rsid w:val="00391C52"/>
    <w:rsid w:val="003C14C9"/>
    <w:rsid w:val="00444224"/>
    <w:rsid w:val="00483B05"/>
    <w:rsid w:val="004E28B9"/>
    <w:rsid w:val="004E50FC"/>
    <w:rsid w:val="004E5450"/>
    <w:rsid w:val="004F7DC3"/>
    <w:rsid w:val="0059609A"/>
    <w:rsid w:val="00597659"/>
    <w:rsid w:val="005D1700"/>
    <w:rsid w:val="005E48A2"/>
    <w:rsid w:val="005E62BE"/>
    <w:rsid w:val="00706F17"/>
    <w:rsid w:val="00711813"/>
    <w:rsid w:val="00721E4D"/>
    <w:rsid w:val="00724E3C"/>
    <w:rsid w:val="00743C46"/>
    <w:rsid w:val="00760B17"/>
    <w:rsid w:val="007B0276"/>
    <w:rsid w:val="008660B4"/>
    <w:rsid w:val="00885303"/>
    <w:rsid w:val="008909C9"/>
    <w:rsid w:val="008F2FDD"/>
    <w:rsid w:val="00947B77"/>
    <w:rsid w:val="009D0284"/>
    <w:rsid w:val="009E2228"/>
    <w:rsid w:val="009F06D6"/>
    <w:rsid w:val="009F6325"/>
    <w:rsid w:val="00A03FBC"/>
    <w:rsid w:val="00A266B4"/>
    <w:rsid w:val="00A43A55"/>
    <w:rsid w:val="00A46462"/>
    <w:rsid w:val="00A60356"/>
    <w:rsid w:val="00A71DEF"/>
    <w:rsid w:val="00A80E6A"/>
    <w:rsid w:val="00AE2DA6"/>
    <w:rsid w:val="00B21E88"/>
    <w:rsid w:val="00B432FE"/>
    <w:rsid w:val="00BC5FCC"/>
    <w:rsid w:val="00BF1E4D"/>
    <w:rsid w:val="00C132EC"/>
    <w:rsid w:val="00C53406"/>
    <w:rsid w:val="00C60A71"/>
    <w:rsid w:val="00CA0568"/>
    <w:rsid w:val="00D12B4F"/>
    <w:rsid w:val="00D50DFD"/>
    <w:rsid w:val="00D55F3B"/>
    <w:rsid w:val="00DA2731"/>
    <w:rsid w:val="00DD184C"/>
    <w:rsid w:val="00EE2ABA"/>
    <w:rsid w:val="00EF12F3"/>
    <w:rsid w:val="00F02477"/>
    <w:rsid w:val="00F30404"/>
    <w:rsid w:val="00F836A2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DC4C8"/>
  <w15:chartTrackingRefBased/>
  <w15:docId w15:val="{0B69F39C-FC6C-4F7B-9256-5E955911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F1EFB8-DD47-40E8-B3D8-A27352B1B2B6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2682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Author</cp:lastModifiedBy>
  <cp:revision>36</cp:revision>
  <cp:lastPrinted>2013-06-13T09:45:00Z</cp:lastPrinted>
  <dcterms:created xsi:type="dcterms:W3CDTF">2025-09-05T12:07:00Z</dcterms:created>
  <dcterms:modified xsi:type="dcterms:W3CDTF">2025-09-05T12:29:00Z</dcterms:modified>
</cp:coreProperties>
</file>