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C395" w14:textId="3CB4A9AF" w:rsidR="00AD2198" w:rsidRPr="00AD2198" w:rsidRDefault="00AD2198" w:rsidP="00471B62">
      <w:pPr>
        <w:spacing w:after="0" w:line="240" w:lineRule="auto"/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</w:pPr>
      <w:bookmarkStart w:id="0" w:name="_Hlk204284392"/>
      <w:bookmarkStart w:id="1" w:name="OLE_LINK1"/>
      <w:bookmarkEnd w:id="0"/>
      <w:r w:rsidRPr="00AD2198"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  <w:t xml:space="preserve">Injectable Thermosensitive Hydrogel </w:t>
      </w:r>
      <w:bookmarkEnd w:id="1"/>
      <w:r w:rsidRPr="00AD2198"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  <w:t>for Tunable Contraception: Controlled Delivery of Etonogestrel</w:t>
      </w:r>
    </w:p>
    <w:p w14:paraId="26317253" w14:textId="52B96681" w:rsidR="00471B62" w:rsidRDefault="00AD2198" w:rsidP="00471B62">
      <w:pPr>
        <w:spacing w:after="0" w:line="240" w:lineRule="auto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proofErr w:type="spellStart"/>
      <w:r w:rsidRPr="00AD2198">
        <w:rPr>
          <w:rFonts w:ascii="Arial" w:eastAsia="等线" w:hAnsi="Arial" w:cs="Calibri" w:hint="eastAsia"/>
          <w:b/>
          <w:kern w:val="0"/>
          <w:sz w:val="20"/>
          <w:szCs w:val="20"/>
          <w:u w:val="single"/>
          <w:lang w:eastAsia="zh-CN"/>
          <w14:ligatures w14:val="none"/>
        </w:rPr>
        <w:t>Zhengping</w:t>
      </w:r>
      <w:proofErr w:type="spellEnd"/>
      <w:r w:rsidRPr="00AD2198">
        <w:rPr>
          <w:rFonts w:ascii="Arial" w:eastAsia="等线" w:hAnsi="Arial" w:cs="Calibri" w:hint="eastAsia"/>
          <w:b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r>
        <w:rPr>
          <w:rFonts w:ascii="Arial" w:eastAsia="等线" w:hAnsi="Arial" w:cs="Calibri" w:hint="eastAsia"/>
          <w:b/>
          <w:kern w:val="0"/>
          <w:sz w:val="20"/>
          <w:szCs w:val="20"/>
          <w:u w:val="single"/>
          <w:lang w:eastAsia="zh-CN"/>
          <w14:ligatures w14:val="none"/>
        </w:rPr>
        <w:t>Ge</w:t>
      </w:r>
      <w:r w:rsidR="00C315D2" w:rsidRPr="00AD2198">
        <w:rPr>
          <w:rFonts w:ascii="Arial" w:eastAsia="等线" w:hAnsi="Arial" w:cs="Calibri"/>
          <w:b/>
          <w:kern w:val="0"/>
          <w:sz w:val="20"/>
          <w:szCs w:val="20"/>
          <w:u w:val="single"/>
          <w:vertAlign w:val="superscript"/>
          <w:lang w:eastAsia="zh-CN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1D2A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Chenxi Yang</w:t>
      </w:r>
      <w:r w:rsidR="008349A7" w:rsidRPr="0089123A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2</w:t>
      </w:r>
      <w:r w:rsidR="001D2AD6" w:rsidRPr="0089123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1D2A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AD2198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Yiwei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Wang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</w:t>
      </w:r>
      <w:r w:rsidR="008349A7">
        <w:rPr>
          <w:rFonts w:ascii="Arial" w:eastAsia="Calibri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3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,4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37D4547" w14:textId="2F97C442" w:rsidR="00C315D2" w:rsidRDefault="00AD2198" w:rsidP="00471B6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zh-CN"/>
          <w14:ligatures w14:val="none"/>
        </w:rPr>
      </w:pP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Pharmacy, Nanjing University of Chinese Medicine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Nanjing, Jiangsu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</w:t>
      </w:r>
      <w:proofErr w:type="spellStart"/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Qixia</w:t>
      </w:r>
      <w:proofErr w:type="spellEnd"/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PR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Chin</w:t>
      </w:r>
      <w:r w:rsidRPr="00AD2198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513924B2" w14:textId="7BD07165" w:rsidR="00804BFF" w:rsidRDefault="0089123A" w:rsidP="00AD2198">
      <w:pPr>
        <w:spacing w:after="0" w:line="240" w:lineRule="auto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School of </w:t>
      </w:r>
      <w:r w:rsidR="00BA5BB1" w:rsidRPr="00BA5B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Medical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Nanjing University of Chinese Medicine</w:t>
      </w:r>
      <w:r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2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Nanjing, Jiangsu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</w:t>
      </w:r>
      <w:proofErr w:type="spellStart"/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Qixia</w:t>
      </w:r>
      <w:proofErr w:type="spellEnd"/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PR 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Chin</w:t>
      </w:r>
      <w:r w:rsidRPr="00AD2198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a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280B733" w14:textId="10E3571E" w:rsidR="00AD2198" w:rsidRDefault="00471B62" w:rsidP="00AD2198">
      <w:pPr>
        <w:spacing w:after="0" w:line="240" w:lineRule="auto"/>
        <w:rPr>
          <w:rFonts w:ascii="宋体" w:hAnsi="宋体" w:cs="宋体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J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iangsu Collaborative Innovation </w:t>
      </w:r>
      <w:proofErr w:type="spellStart"/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Center</w:t>
      </w:r>
      <w:proofErr w:type="spellEnd"/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Chinese Medicine Resource Industrialization Process, Nanjing University of Chinese Medicine</w:t>
      </w:r>
      <w:r w:rsidR="00BA5BB1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3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471B6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Nanjing,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Jiangsu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</w:t>
      </w:r>
      <w:proofErr w:type="spellStart"/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Qixia</w:t>
      </w:r>
      <w:proofErr w:type="spellEnd"/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804BFF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PR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Chin</w:t>
      </w:r>
      <w:r w:rsidR="00AD2198" w:rsidRPr="00AD2198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a</w:t>
      </w:r>
      <w:r w:rsidR="00804BFF">
        <w:rPr>
          <w:rFonts w:ascii="宋体" w:hAnsi="宋体" w:cs="宋体" w:hint="eastAsia"/>
          <w:bCs/>
          <w:kern w:val="0"/>
          <w:sz w:val="20"/>
          <w:szCs w:val="20"/>
          <w:lang w:eastAsia="zh-CN"/>
          <w14:ligatures w14:val="none"/>
        </w:rPr>
        <w:t>;</w:t>
      </w:r>
    </w:p>
    <w:p w14:paraId="7FD9F50B" w14:textId="0596EA32" w:rsidR="00804BFF" w:rsidRPr="00804BFF" w:rsidRDefault="00804BFF" w:rsidP="00AD2198">
      <w:pPr>
        <w:spacing w:after="0" w:line="240" w:lineRule="auto"/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</w:pPr>
      <w:r w:rsidRPr="00804BFF">
        <w:rPr>
          <w:rFonts w:ascii="Arial" w:eastAsia="Calibri" w:hAnsi="Arial" w:cs="Calibri"/>
          <w:bCs/>
          <w:kern w:val="0"/>
          <w:sz w:val="20"/>
          <w:szCs w:val="20"/>
          <w:lang w:eastAsia="zh-CN"/>
          <w14:ligatures w14:val="none"/>
        </w:rPr>
        <w:t>ANZAC Research Institute, Concord Hospital, The University of Sydney</w:t>
      </w:r>
      <w:r w:rsidRPr="00804BFF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4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, </w:t>
      </w:r>
      <w:r w:rsidRPr="00804BFF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>NSW Concord West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, </w:t>
      </w:r>
      <w:r w:rsidRPr="00804BFF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>Australia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.</w:t>
      </w:r>
    </w:p>
    <w:p w14:paraId="2DD37039" w14:textId="5F0102E1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184FE428" w:rsidR="00C315D2" w:rsidRPr="00AD2198" w:rsidRDefault="00B8473A" w:rsidP="00C315D2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Long-acting contraception </w:t>
      </w:r>
      <w:proofErr w:type="spellStart"/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has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become</w:t>
      </w:r>
      <w:proofErr w:type="spellEnd"/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 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major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research focus in reproductive health due to the 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significant gap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between 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high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market demand and limited product availability. This study developed an injectable thermosensitive hydrogel system </w:t>
      </w:r>
      <w:r w:rsidR="009322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–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poly</w:t>
      </w:r>
      <w:r w:rsidR="00932204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(N-isopropylacrylamide-co-hydroxyethylacrylamide-co-etonogestrel) (PNPHO-ENG) designed to achieve prolonged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proofErr w:type="spellStart"/>
      <w:proofErr w:type="gramStart"/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tunable</w:t>
      </w:r>
      <w:proofErr w:type="spellEnd"/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contraceptive</w:t>
      </w:r>
      <w:proofErr w:type="gramEnd"/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effects 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by</w:t>
      </w:r>
      <w:r w:rsidR="008349A7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precisely modulat</w:t>
      </w:r>
      <w:r w:rsidR="008349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ing </w:t>
      </w:r>
      <w:r w:rsidR="00AD2198" w:rsidRPr="00AD21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hydrogel degradation properties</w:t>
      </w:r>
      <w:r w:rsidR="00471B62">
        <w:rPr>
          <w:rFonts w:ascii="宋体" w:hAnsi="宋体" w:cs="宋体" w:hint="eastAsia"/>
          <w:bCs/>
          <w:kern w:val="0"/>
          <w:sz w:val="20"/>
          <w:szCs w:val="20"/>
          <w:lang w:eastAsia="zh-CN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2A121CE" w14:textId="76E4AC1B" w:rsidR="00840504" w:rsidRPr="00840504" w:rsidRDefault="00C315D2" w:rsidP="00840504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="005B21DC">
        <w:rPr>
          <w:rFonts w:ascii="Arial" w:eastAsia="等线" w:hAnsi="Arial" w:cs="Calibri" w:hint="eastAsia"/>
          <w:b/>
          <w:kern w:val="0"/>
          <w:sz w:val="20"/>
          <w:szCs w:val="20"/>
          <w:lang w:eastAsia="zh-CN"/>
          <w14:ligatures w14:val="none"/>
        </w:rPr>
        <w:t xml:space="preserve"> </w:t>
      </w:r>
      <w:proofErr w:type="spellStart"/>
      <w:r w:rsidR="006C40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Tuable</w:t>
      </w:r>
      <w:proofErr w:type="spellEnd"/>
      <w:r w:rsidR="005B21DC" w:rsidRPr="005B21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-acting injectable hydrogels were synthesized via free-radical polymerization of poly(N-isopropylacrylamide-co-hydroxyethylacrylamide-co-etonogestrel) (PNPHO) and etonogestrel (ENG). FTIR and ¹H-NMR confirmed the molecular structure</w:t>
      </w:r>
      <w:r w:rsidR="006C40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Thermosensitive sustained released behaviour was demonstrated using the inversion </w:t>
      </w:r>
      <w:r w:rsidR="005B21DC" w:rsidRPr="005B21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method and LC-MS analysis. Contraceptive efficacy was</w:t>
      </w:r>
      <w:r w:rsidR="006C40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also</w:t>
      </w:r>
      <w:r w:rsidR="005B21DC" w:rsidRPr="005B21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C40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assessed </w:t>
      </w:r>
      <w:r w:rsidR="005B21DC" w:rsidRPr="005B21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through animal mating experiments</w:t>
      </w:r>
      <w:r w:rsidR="006C40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 well as histological analysis</w:t>
      </w:r>
      <w:r w:rsidR="005B21DC" w:rsidRPr="005B21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7D1015D1" w14:textId="77777777" w:rsidR="00840504" w:rsidRPr="00840504" w:rsidRDefault="00840504" w:rsidP="00840504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</w:p>
    <w:p w14:paraId="15EB0532" w14:textId="1E5073B7" w:rsidR="00C315D2" w:rsidRPr="00840504" w:rsidRDefault="00795378" w:rsidP="00840504">
      <w:pPr>
        <w:rPr>
          <w:rFonts w:ascii="Arial" w:eastAsia="等线" w:hAnsi="Arial" w:cs="Calibri"/>
          <w:kern w:val="0"/>
          <w:sz w:val="20"/>
          <w:szCs w:val="20"/>
          <w:lang w:val="en-US" w:eastAsia="zh-CN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FTIR and ¹H-NMR confirmed successful grafting of PNPHO and ENG, </w:t>
      </w:r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achieving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 drug loading of </w:t>
      </w:r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approximately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95.3%. </w:t>
      </w:r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Both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In vitro and in vivo release studies </w:t>
      </w:r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showed</w:t>
      </w:r>
      <w:r w:rsidR="006C40E8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sustained drug </w:t>
      </w:r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delivery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maintaining effective </w:t>
      </w:r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plasma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concentrations (Figure 2). Mating experiments </w:t>
      </w:r>
      <w:proofErr w:type="gramStart"/>
      <w:r w:rsidR="006C40E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demonstrated </w:t>
      </w:r>
      <w:r w:rsidR="006C40E8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that</w:t>
      </w:r>
      <w:proofErr w:type="gramEnd"/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3443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1 mL/kg </w:t>
      </w:r>
      <w:r w:rsidR="003443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dose of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PE gel (140 mg/mL) provided 20</w:t>
      </w:r>
      <w:r w:rsidR="003443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day</w:t>
      </w:r>
      <w:r w:rsidR="003443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contraception without </w:t>
      </w:r>
      <w:r w:rsidR="003443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impacting</w:t>
      </w:r>
      <w:r w:rsidR="00344395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fertility or offspring health.</w:t>
      </w:r>
    </w:p>
    <w:p w14:paraId="7A6A1625" w14:textId="3D00B3CB" w:rsidR="00C315D2" w:rsidRPr="0059679B" w:rsidRDefault="00242A1A" w:rsidP="00471B62">
      <w:pPr>
        <w:spacing w:after="0" w:line="240" w:lineRule="auto"/>
        <w:rPr>
          <w:rFonts w:ascii="Arial" w:eastAsia="等线" w:hAnsi="Arial" w:cs="Calibri"/>
          <w:b/>
          <w:kern w:val="0"/>
          <w:sz w:val="20"/>
          <w:szCs w:val="20"/>
          <w:lang w:eastAsia="zh-CN"/>
          <w14:ligatures w14:val="none"/>
        </w:rPr>
      </w:pPr>
      <w:r w:rsidRPr="00242A1A">
        <w:rPr>
          <w:rFonts w:ascii="Arial" w:eastAsia="等线" w:hAnsi="Arial" w:cs="Calibri"/>
          <w:b/>
          <w:noProof/>
          <w:kern w:val="0"/>
          <w:sz w:val="20"/>
          <w:szCs w:val="20"/>
          <w:lang w:eastAsia="zh-CN"/>
          <w14:ligatures w14:val="none"/>
        </w:rPr>
        <w:drawing>
          <wp:inline distT="0" distB="0" distL="0" distR="0" wp14:anchorId="642DAB2E" wp14:editId="33D1EA02">
            <wp:extent cx="3602794" cy="1457325"/>
            <wp:effectExtent l="0" t="0" r="0" b="0"/>
            <wp:docPr id="7164531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89" cy="14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9324" w14:textId="1D6A2908" w:rsidR="00C315D2" w:rsidRPr="00471B62" w:rsidRDefault="00C315D2" w:rsidP="2021B9E9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Schematic illustration of ENG-loaded injectable hydrogel formulation.</w:t>
      </w:r>
    </w:p>
    <w:p w14:paraId="64177A03" w14:textId="536151DF" w:rsidR="0059679B" w:rsidRPr="0059679B" w:rsidRDefault="0059679B" w:rsidP="2021B9E9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</w:pPr>
    </w:p>
    <w:p w14:paraId="37683296" w14:textId="34469738" w:rsidR="00C315D2" w:rsidRDefault="00471B62" w:rsidP="00471B62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B105B7">
        <w:rPr>
          <w:rFonts w:ascii="Arial" w:eastAsia="Calibri" w:hAnsi="Arial" w:cs="Calibri"/>
          <w:b/>
          <w:noProof/>
          <w:kern w:val="0"/>
          <w:sz w:val="20"/>
          <w:szCs w:val="20"/>
          <w14:ligatures w14:val="none"/>
        </w:rPr>
        <w:drawing>
          <wp:inline distT="0" distB="0" distL="0" distR="0" wp14:anchorId="1323FE10" wp14:editId="5634ABA7">
            <wp:extent cx="5775239" cy="1300163"/>
            <wp:effectExtent l="0" t="0" r="0" b="0"/>
            <wp:docPr id="11" name="图片 10">
              <a:extLst xmlns:a="http://schemas.openxmlformats.org/drawingml/2006/main">
                <a:ext uri="{FF2B5EF4-FFF2-40B4-BE49-F238E27FC236}">
                  <a16:creationId xmlns:a16="http://schemas.microsoft.com/office/drawing/2014/main" id="{A6C8F527-560C-7A9E-DAD8-35D456C45E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>
                      <a:extLst>
                        <a:ext uri="{FF2B5EF4-FFF2-40B4-BE49-F238E27FC236}">
                          <a16:creationId xmlns:a16="http://schemas.microsoft.com/office/drawing/2014/main" id="{A6C8F527-560C-7A9E-DAD8-35D456C45E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297" cy="134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1386F" w14:textId="30A479CD" w:rsidR="0059679B" w:rsidRDefault="00B105B7" w:rsidP="00EF06D1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</w:t>
      </w:r>
      <w:r>
        <w:rPr>
          <w:rFonts w:ascii="Arial" w:eastAsia="等线" w:hAnsi="Arial" w:cs="Calibri" w:hint="eastAsia"/>
          <w:b/>
          <w:bCs/>
          <w:kern w:val="0"/>
          <w:sz w:val="20"/>
          <w:szCs w:val="20"/>
          <w:lang w:val="en-GB" w:eastAsia="zh-CN"/>
          <w14:ligatures w14:val="none"/>
        </w:rPr>
        <w:t>2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.</w:t>
      </w:r>
      <w:r w:rsidR="003B3C21">
        <w:rPr>
          <w:rFonts w:ascii="Arial" w:eastAsia="等线" w:hAnsi="Arial" w:cs="Calibri" w:hint="eastAsia"/>
          <w:b/>
          <w:bCs/>
          <w:kern w:val="0"/>
          <w:sz w:val="20"/>
          <w:szCs w:val="20"/>
          <w:lang w:val="en-GB" w:eastAsia="zh-CN"/>
          <w14:ligatures w14:val="none"/>
        </w:rPr>
        <w:t xml:space="preserve"> 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PNPHO-ENG release profiles (n=3)</w:t>
      </w:r>
      <w:r w:rsidR="005B21DC">
        <w:rPr>
          <w:rFonts w:ascii="Arial" w:eastAsia="等线" w:hAnsi="Arial" w:cs="Calibri" w:hint="eastAsia"/>
          <w:kern w:val="0"/>
          <w:sz w:val="20"/>
          <w:szCs w:val="20"/>
          <w:lang w:val="en-GB" w:eastAsia="zh-CN"/>
          <w14:ligatures w14:val="none"/>
        </w:rPr>
        <w:t>.</w:t>
      </w:r>
      <w:r w:rsidR="005B21DC" w:rsidRPr="005B21D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(A) Cumulative in vitro release; (B) Plasma concentration kinetics.</w:t>
      </w:r>
    </w:p>
    <w:p w14:paraId="5AF68647" w14:textId="77777777" w:rsidR="005B21DC" w:rsidRPr="005B21DC" w:rsidRDefault="005B21DC" w:rsidP="00EF06D1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</w:pPr>
    </w:p>
    <w:p w14:paraId="0914AAB9" w14:textId="65C84A6B" w:rsidR="00EF06D1" w:rsidRDefault="00B8473A" w:rsidP="00EF06D1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</w:p>
    <w:p w14:paraId="2CC6BA85" w14:textId="3E7DEBC6" w:rsidR="0059679B" w:rsidRDefault="00344395" w:rsidP="00C315D2">
      <w:pPr>
        <w:spacing w:after="0" w:line="240" w:lineRule="auto"/>
        <w:jc w:val="both"/>
        <w:rPr>
          <w:rFonts w:cs="Times New Roman"/>
          <w:bCs/>
          <w:color w:val="000000" w:themeColor="text1"/>
          <w:sz w:val="21"/>
          <w:szCs w:val="21"/>
          <w:lang w:eastAsia="zh-CN"/>
        </w:rPr>
      </w:pP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The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PNPHO-ENG 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hydrogel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enables sustained and stable progestin release, with 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an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adjustable injection dosage 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>allowing</w:t>
      </w:r>
      <w:r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flexible 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control over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contraceptive duration. 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This system </w:t>
      </w:r>
      <w:proofErr w:type="gramStart"/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presents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 a</w:t>
      </w:r>
      <w:proofErr w:type="gramEnd"/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 safe, effective, and promising 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 xml:space="preserve">approach for 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>long-acting contracepti</w:t>
      </w:r>
      <w:r>
        <w:rPr>
          <w:rFonts w:cs="Times New Roman"/>
          <w:bCs/>
          <w:color w:val="000000" w:themeColor="text1"/>
          <w:sz w:val="21"/>
          <w:szCs w:val="21"/>
          <w:lang w:eastAsia="zh-CN"/>
        </w:rPr>
        <w:t>on</w:t>
      </w:r>
      <w:r w:rsidR="0059679B" w:rsidRPr="0059679B">
        <w:rPr>
          <w:rFonts w:cs="Times New Roman"/>
          <w:bCs/>
          <w:color w:val="000000" w:themeColor="text1"/>
          <w:sz w:val="21"/>
          <w:szCs w:val="21"/>
          <w:lang w:eastAsia="zh-CN"/>
        </w:rPr>
        <w:t>.</w:t>
      </w:r>
    </w:p>
    <w:p w14:paraId="614BA0C6" w14:textId="77777777" w:rsidR="0059679B" w:rsidRDefault="0059679B" w:rsidP="00C315D2">
      <w:pPr>
        <w:spacing w:after="0" w:line="240" w:lineRule="auto"/>
        <w:jc w:val="both"/>
        <w:rPr>
          <w:rFonts w:cs="Times New Roman"/>
          <w:bCs/>
          <w:color w:val="000000" w:themeColor="text1"/>
          <w:sz w:val="21"/>
          <w:szCs w:val="21"/>
          <w:lang w:eastAsia="zh-CN"/>
        </w:rPr>
      </w:pPr>
    </w:p>
    <w:p w14:paraId="2C801966" w14:textId="796A1DAC" w:rsidR="00C315D2" w:rsidRPr="0059679B" w:rsidRDefault="00C315D2" w:rsidP="00C315D2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  <w:r w:rsidRPr="00D55BCD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</w:p>
    <w:p w14:paraId="47202D37" w14:textId="39F8373E" w:rsidR="003B3C21" w:rsidRDefault="00C315D2" w:rsidP="003B3C21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3B3C21" w:rsidRPr="003B3C2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Sreekanth Pentlavalli</w:t>
      </w:r>
      <w:r w:rsidR="003B3C21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et al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(2025) </w:t>
      </w:r>
      <w:r w:rsidR="003B3C21" w:rsidRPr="003B3C2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Journal of Controlled Release</w:t>
      </w:r>
      <w:r w:rsidR="003B3C21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="003B3C21" w:rsidRPr="003B3C2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379</w:t>
      </w:r>
      <w:r w:rsidR="003B3C21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:</w:t>
      </w:r>
      <w:r w:rsidR="003B3C21" w:rsidRPr="003B3C2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30–44 </w:t>
      </w:r>
    </w:p>
    <w:p w14:paraId="327CD708" w14:textId="71E4DA7C" w:rsidR="00EF06D1" w:rsidRDefault="00C315D2" w:rsidP="0059679B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lastRenderedPageBreak/>
        <w:t>(2)</w:t>
      </w:r>
      <w:r w:rsidR="0059679B" w:rsidRPr="0059679B">
        <w:t xml:space="preserve"> </w:t>
      </w:r>
      <w:r w:rsidR="0059679B" w:rsidRPr="005967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Xi Chen</w:t>
      </w:r>
      <w:r w:rsidR="0059679B" w:rsidRPr="0059679B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 et al (2017) </w:t>
      </w:r>
      <w:r w:rsidR="0059679B" w:rsidRPr="005967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J. Biomed. </w:t>
      </w:r>
      <w:proofErr w:type="spellStart"/>
      <w:r w:rsidR="0059679B" w:rsidRPr="005967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Nanotechnol</w:t>
      </w:r>
      <w:proofErr w:type="spellEnd"/>
      <w:r w:rsidR="0059679B" w:rsidRPr="0059679B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 </w:t>
      </w:r>
      <w:r w:rsidR="0059679B" w:rsidRPr="0059679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Vol. 13, No. 11</w:t>
      </w:r>
    </w:p>
    <w:p w14:paraId="39F17CE8" w14:textId="73B0A585" w:rsidR="00EF06D1" w:rsidRPr="0059679B" w:rsidRDefault="0059679B" w:rsidP="0059679B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(3)</w:t>
      </w:r>
      <w:r w:rsidRPr="0059679B">
        <w:t xml:space="preserve"> </w:t>
      </w:r>
      <w:proofErr w:type="spellStart"/>
      <w:r w:rsidRPr="0059679B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>Jingjunjiao</w:t>
      </w:r>
      <w:proofErr w:type="spellEnd"/>
      <w:r w:rsidRPr="0059679B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  <w:proofErr w:type="gramStart"/>
      <w:r w:rsidRPr="0059679B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>Long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(</w:t>
      </w:r>
      <w:proofErr w:type="gramEnd"/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2019)</w:t>
      </w:r>
      <w:r w:rsidRPr="0059679B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ACS Appl. Bio Mater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.</w:t>
      </w:r>
      <w:r w:rsidRPr="0059679B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2, 2766−277</w:t>
      </w:r>
    </w:p>
    <w:sectPr w:rsidR="00EF06D1" w:rsidRPr="00596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6414" w14:textId="77777777" w:rsidR="00E5110B" w:rsidRDefault="00E5110B" w:rsidP="005B21DC">
      <w:pPr>
        <w:spacing w:after="0" w:line="240" w:lineRule="auto"/>
      </w:pPr>
      <w:r>
        <w:separator/>
      </w:r>
    </w:p>
  </w:endnote>
  <w:endnote w:type="continuationSeparator" w:id="0">
    <w:p w14:paraId="5E61AC98" w14:textId="77777777" w:rsidR="00E5110B" w:rsidRDefault="00E5110B" w:rsidP="005B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3171" w14:textId="77777777" w:rsidR="00E5110B" w:rsidRDefault="00E5110B" w:rsidP="005B21DC">
      <w:pPr>
        <w:spacing w:after="0" w:line="240" w:lineRule="auto"/>
      </w:pPr>
      <w:r>
        <w:separator/>
      </w:r>
    </w:p>
  </w:footnote>
  <w:footnote w:type="continuationSeparator" w:id="0">
    <w:p w14:paraId="6F83DF40" w14:textId="77777777" w:rsidR="00E5110B" w:rsidRDefault="00E5110B" w:rsidP="005B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62B39"/>
    <w:multiLevelType w:val="multilevel"/>
    <w:tmpl w:val="AD5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3660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173834"/>
    <w:rsid w:val="00173F29"/>
    <w:rsid w:val="001C32DC"/>
    <w:rsid w:val="001D2AD6"/>
    <w:rsid w:val="001D3989"/>
    <w:rsid w:val="002017E6"/>
    <w:rsid w:val="00242A1A"/>
    <w:rsid w:val="00294059"/>
    <w:rsid w:val="002F3EB0"/>
    <w:rsid w:val="003206E4"/>
    <w:rsid w:val="00344395"/>
    <w:rsid w:val="003552E5"/>
    <w:rsid w:val="003A6D5C"/>
    <w:rsid w:val="003B3C21"/>
    <w:rsid w:val="00471B62"/>
    <w:rsid w:val="004A51B6"/>
    <w:rsid w:val="00510CF8"/>
    <w:rsid w:val="00575A29"/>
    <w:rsid w:val="0059679B"/>
    <w:rsid w:val="005A3AD6"/>
    <w:rsid w:val="005B21DC"/>
    <w:rsid w:val="005F7272"/>
    <w:rsid w:val="00601754"/>
    <w:rsid w:val="006A34BE"/>
    <w:rsid w:val="006C40E8"/>
    <w:rsid w:val="006F3F1C"/>
    <w:rsid w:val="007141F2"/>
    <w:rsid w:val="007561D8"/>
    <w:rsid w:val="00795378"/>
    <w:rsid w:val="00796206"/>
    <w:rsid w:val="007C367E"/>
    <w:rsid w:val="00804BFF"/>
    <w:rsid w:val="008071C5"/>
    <w:rsid w:val="008349A7"/>
    <w:rsid w:val="00840504"/>
    <w:rsid w:val="00841FB6"/>
    <w:rsid w:val="0089123A"/>
    <w:rsid w:val="008D3CB2"/>
    <w:rsid w:val="008D5520"/>
    <w:rsid w:val="00906D34"/>
    <w:rsid w:val="00932204"/>
    <w:rsid w:val="00933DC9"/>
    <w:rsid w:val="00936D4C"/>
    <w:rsid w:val="009523F9"/>
    <w:rsid w:val="009650DF"/>
    <w:rsid w:val="0099314B"/>
    <w:rsid w:val="009B1CBB"/>
    <w:rsid w:val="009D3A54"/>
    <w:rsid w:val="00A0516D"/>
    <w:rsid w:val="00A70D51"/>
    <w:rsid w:val="00A93BB7"/>
    <w:rsid w:val="00AD2198"/>
    <w:rsid w:val="00B105B7"/>
    <w:rsid w:val="00B4721D"/>
    <w:rsid w:val="00B8473A"/>
    <w:rsid w:val="00BA5BB1"/>
    <w:rsid w:val="00C21815"/>
    <w:rsid w:val="00C315D2"/>
    <w:rsid w:val="00C353D8"/>
    <w:rsid w:val="00CF5A91"/>
    <w:rsid w:val="00D02BB1"/>
    <w:rsid w:val="00D45A74"/>
    <w:rsid w:val="00D55BCD"/>
    <w:rsid w:val="00D7428F"/>
    <w:rsid w:val="00D92BA4"/>
    <w:rsid w:val="00E5110B"/>
    <w:rsid w:val="00EC3746"/>
    <w:rsid w:val="00EF06D1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21D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21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21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21DC"/>
    <w:rPr>
      <w:sz w:val="18"/>
      <w:szCs w:val="18"/>
    </w:rPr>
  </w:style>
  <w:style w:type="paragraph" w:styleId="af2">
    <w:name w:val="Revision"/>
    <w:hidden/>
    <w:uiPriority w:val="99"/>
    <w:semiHidden/>
    <w:rsid w:val="001D2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GZP</cp:lastModifiedBy>
  <cp:revision>5</cp:revision>
  <dcterms:created xsi:type="dcterms:W3CDTF">2025-07-28T02:27:00Z</dcterms:created>
  <dcterms:modified xsi:type="dcterms:W3CDTF">2025-07-31T12:19:00Z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