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3FA8" w14:textId="5DC1FB59" w:rsidR="00FC2715" w:rsidRDefault="00FC2715" w:rsidP="00D36429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GB"/>
          <w14:ligatures w14:val="none"/>
        </w:rPr>
      </w:pPr>
      <w:r w:rsidRPr="002102BC">
        <w:rPr>
          <w:rFonts w:ascii="Arial" w:eastAsia="Calibri" w:hAnsi="Arial" w:cs="Calibri"/>
          <w:b/>
          <w:bCs/>
          <w:kern w:val="0"/>
          <w:lang w:val="en-GB"/>
          <w14:ligatures w14:val="none"/>
        </w:rPr>
        <w:t>From bitter to better medicines: a preclinical tool to predicts bitterness and level of sweetness to mask it</w:t>
      </w:r>
    </w:p>
    <w:p w14:paraId="71AAC7B4" w14:textId="77777777" w:rsidR="00FC2715" w:rsidRDefault="00FC2715" w:rsidP="00D36429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GB"/>
          <w14:ligatures w14:val="none"/>
        </w:rPr>
      </w:pPr>
    </w:p>
    <w:p w14:paraId="7FAC80F9" w14:textId="3C4494A3" w:rsidR="00D36429" w:rsidRPr="00C315D2" w:rsidRDefault="00D36429" w:rsidP="00D36429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Robert Ives</w:t>
      </w:r>
      <w:r w:rsidRPr="00D36429">
        <w:rPr>
          <w:rFonts w:ascii="Arial" w:eastAsia="Calibri" w:hAnsi="Arial" w:cs="Calibri"/>
          <w:b/>
          <w:kern w:val="0"/>
          <w:sz w:val="20"/>
          <w:szCs w:val="20"/>
          <w:vertAlign w:val="superscript"/>
          <w14:ligatures w14:val="none"/>
        </w:rPr>
        <w:t>1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Pr="0043397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Sejal R. Ranmal</w:t>
      </w:r>
      <w:r w:rsidRPr="00433975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1,2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Pr="00433975">
        <w:rPr>
          <w:rFonts w:ascii="Arial" w:eastAsia="Calibri" w:hAnsi="Arial" w:cs="Calibri"/>
          <w:bCs/>
          <w:kern w:val="0"/>
          <w:sz w:val="20"/>
          <w:szCs w:val="20"/>
          <w:u w:val="single"/>
          <w14:ligatures w14:val="none"/>
        </w:rPr>
        <w:t>Catherine Tuleu</w:t>
      </w:r>
      <w:r w:rsidRPr="00433975">
        <w:rPr>
          <w:rFonts w:ascii="Arial" w:eastAsia="Calibri" w:hAnsi="Arial" w:cs="Calibri"/>
          <w:bCs/>
          <w:kern w:val="0"/>
          <w:sz w:val="20"/>
          <w:szCs w:val="20"/>
          <w:u w:val="single"/>
          <w:vertAlign w:val="superscript"/>
          <w14:ligatures w14:val="none"/>
        </w:rPr>
        <w:t>1,2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17DCDF93" w14:textId="67C9042A" w:rsidR="00D36429" w:rsidRPr="00C315D2" w:rsidRDefault="00D36429" w:rsidP="00D36429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senCeuTics Ltd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London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United </w:t>
      </w:r>
      <w:proofErr w:type="gramStart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Kingdom;</w:t>
      </w:r>
      <w:proofErr w:type="gramEnd"/>
    </w:p>
    <w:p w14:paraId="0F79BB55" w14:textId="5653CC14" w:rsidR="00D36429" w:rsidRPr="00C315D2" w:rsidRDefault="00D36429" w:rsidP="00D36429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UCL School of Pharmacy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London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United Kingdom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4C1476CF" w14:textId="77777777" w:rsidR="00D36429" w:rsidRPr="00D36429" w:rsidRDefault="00D36429" w:rsidP="00D36429">
      <w:pPr>
        <w:spacing w:after="0" w:line="240" w:lineRule="auto"/>
        <w:rPr>
          <w:rFonts w:ascii="Arial" w:eastAsia="Calibri" w:hAnsi="Arial" w:cs="Calibri"/>
          <w:bCs/>
          <w:i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775B2804" w14:textId="77777777" w:rsidR="001F76BA" w:rsidRPr="00495509" w:rsidRDefault="001F76BA" w:rsidP="00433975">
      <w:pPr>
        <w:spacing w:after="120" w:line="240" w:lineRule="auto"/>
        <w:contextualSpacing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789"/>
      </w:tblGrid>
      <w:tr w:rsidR="001F76BA" w14:paraId="27582D8F" w14:textId="77777777" w:rsidTr="00F33B78">
        <w:tc>
          <w:tcPr>
            <w:tcW w:w="6237" w:type="dxa"/>
          </w:tcPr>
          <w:p w14:paraId="2FDEB0C9" w14:textId="15A6D449" w:rsidR="001F76BA" w:rsidRPr="001F76BA" w:rsidRDefault="001F76BA" w:rsidP="001F76BA">
            <w:pPr>
              <w:spacing w:after="120"/>
              <w:contextualSpacing/>
              <w:rPr>
                <w:noProof/>
              </w:rPr>
            </w:pPr>
            <w:r w:rsidRPr="004339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Background and Aims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33975">
              <w:rPr>
                <w:rFonts w:ascii="Arial" w:hAnsi="Arial" w:cs="Arial"/>
                <w:sz w:val="20"/>
                <w:szCs w:val="20"/>
                <w:lang w:val="en-GB"/>
              </w:rPr>
              <w:t>Poor taste, particularly bitterness, is a major barrier to medication adherence in children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[1]</w:t>
            </w:r>
            <w:r w:rsidRPr="00433975">
              <w:rPr>
                <w:rFonts w:ascii="Arial" w:hAnsi="Arial" w:cs="Arial"/>
                <w:sz w:val="20"/>
                <w:szCs w:val="20"/>
                <w:lang w:val="en-GB"/>
              </w:rPr>
              <w:t xml:space="preserve">. The rat Brief Access Taste Aversion (BATA) </w:t>
            </w:r>
            <w:r w:rsidR="00A216C8">
              <w:rPr>
                <w:rFonts w:ascii="Arial" w:hAnsi="Arial" w:cs="Arial"/>
                <w:sz w:val="20"/>
                <w:szCs w:val="20"/>
                <w:lang w:val="en-GB"/>
              </w:rPr>
              <w:t xml:space="preserve">(Fig 1) </w:t>
            </w:r>
            <w:r w:rsidRPr="00433975">
              <w:rPr>
                <w:rFonts w:ascii="Arial" w:hAnsi="Arial" w:cs="Arial"/>
                <w:sz w:val="20"/>
                <w:szCs w:val="20"/>
                <w:lang w:val="en-GB"/>
              </w:rPr>
              <w:t>assay is a clinically translatable model for predicting bitterness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[2, 3]</w:t>
            </w:r>
            <w:r w:rsidRPr="00433975">
              <w:rPr>
                <w:rFonts w:ascii="Arial" w:hAnsi="Arial" w:cs="Arial"/>
                <w:sz w:val="20"/>
                <w:szCs w:val="20"/>
                <w:lang w:val="en-GB"/>
              </w:rPr>
              <w:t xml:space="preserve">. While rats are good predictors of the bitter-masking potential of natural sugars like sucrose, they are less reliable for non-nutritive sweeteners. Since it is the intensity of sweetness, rather than the sweetener itself, that primarily masks bitterness, this study used the BATA model to: (1) assess the aversiveness of a known bitter compound, (2) evaluate the effectiveness of sucrose in mitigating this aversiveness, and (3) estimate </w:t>
            </w:r>
            <w:proofErr w:type="spellStart"/>
            <w:r w:rsidRPr="00433975">
              <w:rPr>
                <w:rFonts w:ascii="Arial" w:hAnsi="Arial" w:cs="Arial"/>
                <w:sz w:val="20"/>
                <w:szCs w:val="20"/>
                <w:lang w:val="en-GB"/>
              </w:rPr>
              <w:t>equi</w:t>
            </w:r>
            <w:proofErr w:type="spellEnd"/>
            <w:r w:rsidRPr="00433975">
              <w:rPr>
                <w:rFonts w:ascii="Arial" w:hAnsi="Arial" w:cs="Arial"/>
                <w:sz w:val="20"/>
                <w:szCs w:val="20"/>
                <w:lang w:val="en-GB"/>
              </w:rPr>
              <w:t>-sweet concentrations of alternative sweeteners.</w:t>
            </w:r>
            <w:r w:rsidRPr="00495509">
              <w:rPr>
                <w:noProof/>
              </w:rPr>
              <w:t xml:space="preserve"> </w:t>
            </w:r>
          </w:p>
        </w:tc>
        <w:tc>
          <w:tcPr>
            <w:tcW w:w="2789" w:type="dxa"/>
          </w:tcPr>
          <w:p w14:paraId="52245C93" w14:textId="77777777" w:rsidR="001F76BA" w:rsidRDefault="001F76BA" w:rsidP="00F33B78">
            <w:pPr>
              <w:jc w:val="center"/>
              <w:rPr>
                <w:rFonts w:ascii="Arial" w:eastAsia="Calibri" w:hAnsi="Arial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495509">
              <w:rPr>
                <w:rFonts w:ascii="Arial" w:hAnsi="Arial" w:cs="Arial"/>
                <w:noProof/>
                <w:sz w:val="20"/>
                <w:szCs w:val="20"/>
                <w:lang w:val="en-GB"/>
              </w:rPr>
              <w:drawing>
                <wp:inline distT="0" distB="0" distL="0" distR="0" wp14:anchorId="350DFCD0" wp14:editId="6C0E7DE6">
                  <wp:extent cx="1495425" cy="923925"/>
                  <wp:effectExtent l="0" t="0" r="9525" b="9525"/>
                  <wp:docPr id="633367756" name="Picture 1" descr="A white mouse in a cag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367756" name="Picture 1" descr="A white mouse in a cage&#10;&#10;AI-generated content may be incorrec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635" cy="92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30E1EE" w14:textId="33C05745" w:rsidR="001F76BA" w:rsidRPr="00F33B78" w:rsidRDefault="001F76BA" w:rsidP="001F76BA">
            <w:pPr>
              <w:jc w:val="both"/>
              <w:rPr>
                <w:rFonts w:ascii="Arial" w:eastAsia="Calibri" w:hAnsi="Arial" w:cs="Calibri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166959">
              <w:rPr>
                <w:rFonts w:ascii="Arial" w:eastAsia="Calibri" w:hAnsi="Arial" w:cs="Calibri"/>
                <w:b/>
                <w:bCs/>
                <w:kern w:val="0"/>
                <w:sz w:val="16"/>
                <w:szCs w:val="16"/>
                <w:lang w:val="en-GB"/>
                <w14:ligatures w14:val="none"/>
              </w:rPr>
              <w:t>Figure 1.</w:t>
            </w:r>
            <w:r w:rsidRPr="00166959">
              <w:rPr>
                <w:rFonts w:ascii="Arial" w:eastAsia="Calibri" w:hAnsi="Arial" w:cs="Calibri"/>
                <w:kern w:val="0"/>
                <w:sz w:val="16"/>
                <w:szCs w:val="16"/>
                <w:lang w:val="en-GB"/>
                <w14:ligatures w14:val="none"/>
              </w:rPr>
              <w:t xml:space="preserve"> </w:t>
            </w:r>
            <w:r w:rsidR="002E74A1" w:rsidRPr="00C155EA">
              <w:rPr>
                <w:rFonts w:ascii="Arial" w:eastAsia="Calibri" w:hAnsi="Arial" w:cs="Calibri"/>
                <w:bCs/>
                <w:kern w:val="0"/>
                <w:sz w:val="16"/>
                <w:szCs w:val="16"/>
                <w:lang w:val="en-GB"/>
                <w14:ligatures w14:val="none"/>
              </w:rPr>
              <w:t>Rat in a</w:t>
            </w:r>
            <w:r w:rsidR="00C155EA" w:rsidRPr="00C155EA">
              <w:rPr>
                <w:rFonts w:ascii="Arial" w:eastAsia="Calibri" w:hAnsi="Arial" w:cs="Calibri"/>
                <w:bCs/>
                <w:kern w:val="0"/>
                <w:sz w:val="16"/>
                <w:szCs w:val="16"/>
                <w:lang w:val="en-GB"/>
                <w14:ligatures w14:val="none"/>
              </w:rPr>
              <w:t xml:space="preserve"> </w:t>
            </w:r>
            <w:r w:rsidR="002E74A1" w:rsidRPr="00C155EA">
              <w:rPr>
                <w:rFonts w:ascii="Arial" w:eastAsia="Calibri" w:hAnsi="Arial" w:cs="Calibri"/>
                <w:bCs/>
                <w:kern w:val="0"/>
                <w:sz w:val="16"/>
                <w:szCs w:val="16"/>
                <w:lang w:val="en-GB"/>
                <w14:ligatures w14:val="none"/>
              </w:rPr>
              <w:t>“</w:t>
            </w:r>
            <w:proofErr w:type="spellStart"/>
            <w:r w:rsidR="002E74A1" w:rsidRPr="00C155EA">
              <w:rPr>
                <w:rFonts w:ascii="Arial" w:eastAsia="Calibri" w:hAnsi="Arial" w:cs="Calibri"/>
                <w:bCs/>
                <w:kern w:val="0"/>
                <w:sz w:val="16"/>
                <w:szCs w:val="16"/>
                <w:lang w:val="en-GB"/>
                <w14:ligatures w14:val="none"/>
              </w:rPr>
              <w:t>lickometer</w:t>
            </w:r>
            <w:proofErr w:type="spellEnd"/>
            <w:r w:rsidR="002E74A1" w:rsidRPr="00C155EA">
              <w:rPr>
                <w:rFonts w:ascii="Arial" w:eastAsia="Calibri" w:hAnsi="Arial" w:cs="Calibri"/>
                <w:bCs/>
                <w:kern w:val="0"/>
                <w:sz w:val="16"/>
                <w:szCs w:val="16"/>
                <w:lang w:val="en-GB"/>
                <w14:ligatures w14:val="none"/>
              </w:rPr>
              <w:t>” which records the number of “licks” that the</w:t>
            </w:r>
            <w:r w:rsidR="00C155EA" w:rsidRPr="00C155EA">
              <w:rPr>
                <w:rFonts w:ascii="Arial" w:eastAsia="Calibri" w:hAnsi="Arial" w:cs="Calibri"/>
                <w:bCs/>
                <w:kern w:val="0"/>
                <w:sz w:val="16"/>
                <w:szCs w:val="16"/>
                <w:lang w:val="en-GB"/>
                <w14:ligatures w14:val="none"/>
              </w:rPr>
              <w:t xml:space="preserve"> rat</w:t>
            </w:r>
            <w:r w:rsidR="00C155EA">
              <w:rPr>
                <w:rFonts w:ascii="Arial" w:eastAsia="Calibri" w:hAnsi="Arial" w:cs="Calibri"/>
                <w:bCs/>
                <w:kern w:val="0"/>
                <w:sz w:val="16"/>
                <w:szCs w:val="16"/>
                <w:lang w:val="en-GB"/>
                <w14:ligatures w14:val="none"/>
              </w:rPr>
              <w:t xml:space="preserve"> </w:t>
            </w:r>
            <w:r w:rsidR="00C155EA" w:rsidRPr="00C155EA">
              <w:rPr>
                <w:rFonts w:ascii="Arial" w:eastAsia="Calibri" w:hAnsi="Arial" w:cs="Calibri"/>
                <w:bCs/>
                <w:kern w:val="0"/>
                <w:sz w:val="16"/>
                <w:szCs w:val="16"/>
                <w:lang w:val="en-GB"/>
                <w14:ligatures w14:val="none"/>
              </w:rPr>
              <w:t>make</w:t>
            </w:r>
            <w:r w:rsidR="00C155EA">
              <w:rPr>
                <w:rFonts w:ascii="Arial" w:eastAsia="Calibri" w:hAnsi="Arial" w:cs="Calibri"/>
                <w:bCs/>
                <w:kern w:val="0"/>
                <w:sz w:val="16"/>
                <w:szCs w:val="16"/>
                <w:lang w:val="en-GB"/>
                <w14:ligatures w14:val="none"/>
              </w:rPr>
              <w:t>s</w:t>
            </w:r>
            <w:r w:rsidR="00F33B78">
              <w:rPr>
                <w:rFonts w:ascii="Arial" w:eastAsia="Calibri" w:hAnsi="Arial" w:cs="Calibri"/>
                <w:bCs/>
                <w:kern w:val="0"/>
                <w:sz w:val="16"/>
                <w:szCs w:val="16"/>
                <w:lang w:val="en-GB"/>
                <w14:ligatures w14:val="none"/>
              </w:rPr>
              <w:t xml:space="preserve"> to</w:t>
            </w:r>
            <w:r w:rsidR="00C155EA" w:rsidRPr="00C155EA">
              <w:rPr>
                <w:rFonts w:ascii="Arial" w:eastAsia="Calibri" w:hAnsi="Arial" w:cs="Calibri"/>
                <w:bCs/>
                <w:kern w:val="0"/>
                <w:sz w:val="16"/>
                <w:szCs w:val="16"/>
                <w:lang w:val="en-GB"/>
                <w14:ligatures w14:val="none"/>
              </w:rPr>
              <w:t xml:space="preserve"> </w:t>
            </w:r>
            <w:r w:rsidR="002E74A1" w:rsidRPr="00C155EA">
              <w:rPr>
                <w:rFonts w:ascii="Arial" w:eastAsia="Calibri" w:hAnsi="Arial" w:cs="Calibri"/>
                <w:bCs/>
                <w:kern w:val="0"/>
                <w:sz w:val="16"/>
                <w:szCs w:val="16"/>
                <w:lang w:val="en-GB"/>
                <w14:ligatures w14:val="none"/>
              </w:rPr>
              <w:t xml:space="preserve">different concentrations of compound </w:t>
            </w:r>
            <w:r w:rsidR="00F33B78">
              <w:rPr>
                <w:rFonts w:ascii="Arial" w:eastAsia="Calibri" w:hAnsi="Arial" w:cs="Calibri"/>
                <w:bCs/>
                <w:kern w:val="0"/>
                <w:sz w:val="16"/>
                <w:szCs w:val="16"/>
                <w:lang w:val="en-GB"/>
                <w14:ligatures w14:val="none"/>
              </w:rPr>
              <w:t xml:space="preserve">tested </w:t>
            </w:r>
            <w:r w:rsidR="002E74A1" w:rsidRPr="00C155EA">
              <w:rPr>
                <w:rFonts w:ascii="Arial" w:eastAsia="Calibri" w:hAnsi="Arial" w:cs="Calibri"/>
                <w:bCs/>
                <w:kern w:val="0"/>
                <w:sz w:val="16"/>
                <w:szCs w:val="16"/>
                <w:lang w:val="en-GB"/>
                <w14:ligatures w14:val="none"/>
              </w:rPr>
              <w:t>presented</w:t>
            </w:r>
            <w:r w:rsidR="00F33B78">
              <w:rPr>
                <w:rFonts w:ascii="Arial" w:eastAsia="Calibri" w:hAnsi="Arial" w:cs="Calibri"/>
                <w:bCs/>
                <w:kern w:val="0"/>
                <w:sz w:val="16"/>
                <w:szCs w:val="16"/>
                <w:lang w:val="en-GB"/>
                <w14:ligatures w14:val="none"/>
              </w:rPr>
              <w:t xml:space="preserve"> </w:t>
            </w:r>
            <w:proofErr w:type="gramStart"/>
            <w:r w:rsidR="00F33B78">
              <w:rPr>
                <w:rFonts w:ascii="Arial" w:eastAsia="Calibri" w:hAnsi="Arial" w:cs="Calibri"/>
                <w:bCs/>
                <w:kern w:val="0"/>
                <w:sz w:val="16"/>
                <w:szCs w:val="16"/>
                <w:lang w:val="en-GB"/>
                <w14:ligatures w14:val="none"/>
              </w:rPr>
              <w:t xml:space="preserve">randomly </w:t>
            </w:r>
            <w:r w:rsidR="002E74A1" w:rsidRPr="00C155EA">
              <w:rPr>
                <w:rFonts w:ascii="Arial" w:eastAsia="Calibri" w:hAnsi="Arial" w:cs="Calibri"/>
                <w:bCs/>
                <w:kern w:val="0"/>
                <w:sz w:val="16"/>
                <w:szCs w:val="16"/>
                <w:lang w:val="en-GB"/>
                <w14:ligatures w14:val="none"/>
              </w:rPr>
              <w:t xml:space="preserve"> in</w:t>
            </w:r>
            <w:proofErr w:type="gramEnd"/>
            <w:r w:rsidR="002E74A1" w:rsidRPr="00C155EA">
              <w:rPr>
                <w:rFonts w:ascii="Arial" w:eastAsia="Calibri" w:hAnsi="Arial" w:cs="Calibri"/>
                <w:bCs/>
                <w:kern w:val="0"/>
                <w:sz w:val="16"/>
                <w:szCs w:val="16"/>
                <w:lang w:val="en-GB"/>
                <w14:ligatures w14:val="none"/>
              </w:rPr>
              <w:t xml:space="preserve"> several sipper tube</w:t>
            </w:r>
            <w:r w:rsidR="00F33B78">
              <w:rPr>
                <w:rFonts w:ascii="Arial" w:eastAsia="Calibri" w:hAnsi="Arial" w:cs="Calibri"/>
                <w:bCs/>
                <w:kern w:val="0"/>
                <w:sz w:val="16"/>
                <w:szCs w:val="16"/>
                <w:lang w:val="en-GB"/>
                <w14:ligatures w14:val="none"/>
              </w:rPr>
              <w:t xml:space="preserve"> between short water rinse</w:t>
            </w:r>
            <w:r w:rsidR="00272971">
              <w:rPr>
                <w:rFonts w:ascii="Arial" w:eastAsia="Calibri" w:hAnsi="Arial" w:cs="Calibri"/>
                <w:bCs/>
                <w:kern w:val="0"/>
                <w:sz w:val="16"/>
                <w:szCs w:val="16"/>
                <w:lang w:val="en-GB"/>
                <w14:ligatures w14:val="none"/>
              </w:rPr>
              <w:t xml:space="preserve"> [2]</w:t>
            </w:r>
          </w:p>
        </w:tc>
      </w:tr>
    </w:tbl>
    <w:p w14:paraId="5C361219" w14:textId="77777777" w:rsidR="00D36429" w:rsidRPr="00433975" w:rsidRDefault="00D36429" w:rsidP="00D36429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:lang w:val="en-GB"/>
          <w14:ligatures w14:val="none"/>
        </w:rPr>
      </w:pPr>
    </w:p>
    <w:p w14:paraId="134CC016" w14:textId="5C8DA8C1" w:rsidR="00433975" w:rsidRDefault="00433975" w:rsidP="00433975">
      <w:pPr>
        <w:spacing w:after="120" w:line="240" w:lineRule="auto"/>
        <w:contextualSpacing/>
        <w:jc w:val="both"/>
        <w:rPr>
          <w:rFonts w:ascii="Arial" w:hAnsi="Arial" w:cs="Arial"/>
          <w:sz w:val="20"/>
          <w:szCs w:val="20"/>
          <w:lang w:val="en-GB"/>
        </w:rPr>
      </w:pPr>
      <w:r w:rsidRPr="00433975">
        <w:rPr>
          <w:rFonts w:ascii="Arial" w:hAnsi="Arial" w:cs="Arial"/>
          <w:b/>
          <w:bCs/>
          <w:sz w:val="20"/>
          <w:szCs w:val="20"/>
          <w:lang w:val="en-GB"/>
        </w:rPr>
        <w:t>Methods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433975">
        <w:rPr>
          <w:rFonts w:ascii="Arial" w:hAnsi="Arial" w:cs="Arial"/>
          <w:sz w:val="20"/>
          <w:szCs w:val="20"/>
          <w:lang w:val="en-GB"/>
        </w:rPr>
        <w:t xml:space="preserve">In Phase 1, a bitter compound </w:t>
      </w:r>
      <w:r>
        <w:rPr>
          <w:rFonts w:ascii="Arial" w:hAnsi="Arial" w:cs="Arial"/>
          <w:sz w:val="20"/>
          <w:szCs w:val="20"/>
          <w:lang w:val="en-GB"/>
        </w:rPr>
        <w:t xml:space="preserve">[3] </w:t>
      </w:r>
      <w:r w:rsidRPr="00433975">
        <w:rPr>
          <w:rFonts w:ascii="Arial" w:hAnsi="Arial" w:cs="Arial"/>
          <w:sz w:val="20"/>
          <w:szCs w:val="20"/>
          <w:lang w:val="en-GB"/>
        </w:rPr>
        <w:t xml:space="preserve">was tested at various concentrations (~0.5 log intervals) in 10 rats using the MED-DAV-160M Davis Rig </w:t>
      </w:r>
      <w:proofErr w:type="spellStart"/>
      <w:r w:rsidRPr="00433975">
        <w:rPr>
          <w:rFonts w:ascii="Arial" w:hAnsi="Arial" w:cs="Arial"/>
          <w:sz w:val="20"/>
          <w:szCs w:val="20"/>
          <w:lang w:val="en-GB"/>
        </w:rPr>
        <w:t>lickometer</w:t>
      </w:r>
      <w:proofErr w:type="spellEnd"/>
      <w:r w:rsidRPr="00433975">
        <w:rPr>
          <w:rFonts w:ascii="Arial" w:hAnsi="Arial" w:cs="Arial"/>
          <w:sz w:val="20"/>
          <w:szCs w:val="20"/>
          <w:lang w:val="en-GB"/>
        </w:rPr>
        <w:t>. Each rat participated in two 30-minute sessions over two days. A concentration-response curve was generated. In Phase 2, one week later, the same rats were presented with a fixed concentration of the compound (IC75 from Phase 1) combined with increasing concentrations of sucrose. Data were analysed using non-parametric statistics. All procedures complied with the Animals (Scientific Procedures) Act 1986.</w:t>
      </w:r>
    </w:p>
    <w:p w14:paraId="4563F53C" w14:textId="77777777" w:rsidR="00433975" w:rsidRPr="00433975" w:rsidRDefault="00433975" w:rsidP="00433975">
      <w:pPr>
        <w:spacing w:after="120" w:line="240" w:lineRule="auto"/>
        <w:contextualSpacing/>
        <w:jc w:val="both"/>
        <w:rPr>
          <w:rFonts w:ascii="Arial" w:hAnsi="Arial" w:cs="Arial"/>
          <w:sz w:val="20"/>
          <w:szCs w:val="20"/>
          <w:lang w:val="en-GB"/>
        </w:rPr>
      </w:pPr>
    </w:p>
    <w:p w14:paraId="3F40CF82" w14:textId="20F301AD" w:rsidR="00433975" w:rsidRPr="00822B1E" w:rsidRDefault="00D36429" w:rsidP="00D36429">
      <w:p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433975" w:rsidRPr="00822B1E">
        <w:rPr>
          <w:rFonts w:ascii="Arial" w:hAnsi="Arial" w:cs="Arial"/>
          <w:sz w:val="20"/>
          <w:szCs w:val="20"/>
          <w:lang w:val="en-GB"/>
        </w:rPr>
        <w:t xml:space="preserve">Phase 1 (Fig </w:t>
      </w:r>
      <w:r w:rsidR="001F76BA">
        <w:rPr>
          <w:rFonts w:ascii="Arial" w:hAnsi="Arial" w:cs="Arial"/>
          <w:sz w:val="20"/>
          <w:szCs w:val="20"/>
          <w:lang w:val="en-GB"/>
        </w:rPr>
        <w:t>2</w:t>
      </w:r>
      <w:r w:rsidR="00433975" w:rsidRPr="00822B1E">
        <w:rPr>
          <w:rFonts w:ascii="Arial" w:hAnsi="Arial" w:cs="Arial"/>
          <w:sz w:val="20"/>
          <w:szCs w:val="20"/>
          <w:lang w:val="en-GB"/>
        </w:rPr>
        <w:t xml:space="preserve">) confirmed the compound’s aversiveness, with 0.1 </w:t>
      </w:r>
      <w:proofErr w:type="spellStart"/>
      <w:r w:rsidR="00433975" w:rsidRPr="00822B1E">
        <w:rPr>
          <w:rFonts w:ascii="Arial" w:hAnsi="Arial" w:cs="Arial"/>
          <w:sz w:val="20"/>
          <w:szCs w:val="20"/>
          <w:lang w:val="en-GB"/>
        </w:rPr>
        <w:t>mMol</w:t>
      </w:r>
      <w:proofErr w:type="spellEnd"/>
      <w:r w:rsidR="00433975" w:rsidRPr="00822B1E">
        <w:rPr>
          <w:rFonts w:ascii="Arial" w:hAnsi="Arial" w:cs="Arial"/>
          <w:sz w:val="20"/>
          <w:szCs w:val="20"/>
          <w:lang w:val="en-GB"/>
        </w:rPr>
        <w:t xml:space="preserve"> producing ~50% of the maximum lick rate (IC50). In Phase 2 (Fig </w:t>
      </w:r>
      <w:r w:rsidR="001F76BA">
        <w:rPr>
          <w:rFonts w:ascii="Arial" w:hAnsi="Arial" w:cs="Arial"/>
          <w:sz w:val="20"/>
          <w:szCs w:val="20"/>
          <w:lang w:val="en-GB"/>
        </w:rPr>
        <w:t>3</w:t>
      </w:r>
      <w:r w:rsidR="00433975" w:rsidRPr="00822B1E">
        <w:rPr>
          <w:rFonts w:ascii="Arial" w:hAnsi="Arial" w:cs="Arial"/>
          <w:sz w:val="20"/>
          <w:szCs w:val="20"/>
          <w:lang w:val="en-GB"/>
        </w:rPr>
        <w:t xml:space="preserve">), 10% sucrose </w:t>
      </w:r>
      <w:r w:rsidR="00E71A66">
        <w:rPr>
          <w:rFonts w:ascii="Arial" w:hAnsi="Arial" w:cs="Arial"/>
          <w:sz w:val="20"/>
          <w:szCs w:val="20"/>
          <w:lang w:val="en-GB"/>
        </w:rPr>
        <w:t>increased</w:t>
      </w:r>
      <w:r w:rsidR="00433975" w:rsidRPr="00822B1E">
        <w:rPr>
          <w:rFonts w:ascii="Arial" w:hAnsi="Arial" w:cs="Arial"/>
          <w:sz w:val="20"/>
          <w:szCs w:val="20"/>
          <w:lang w:val="en-GB"/>
        </w:rPr>
        <w:t xml:space="preserve"> licking to ~50%, while 30% sucrose achieved ~80%, a level likely more acceptable for children. This intensity is not achievable with individual artificial sweeteners but m</w:t>
      </w:r>
      <w:r w:rsidR="0065043E">
        <w:rPr>
          <w:rFonts w:ascii="Arial" w:hAnsi="Arial" w:cs="Arial"/>
          <w:sz w:val="20"/>
          <w:szCs w:val="20"/>
          <w:lang w:val="en-GB"/>
        </w:rPr>
        <w:t xml:space="preserve">ight </w:t>
      </w:r>
      <w:r w:rsidR="00433975" w:rsidRPr="00822B1E">
        <w:rPr>
          <w:rFonts w:ascii="Arial" w:hAnsi="Arial" w:cs="Arial"/>
          <w:sz w:val="20"/>
          <w:szCs w:val="20"/>
          <w:lang w:val="en-GB"/>
        </w:rPr>
        <w:t xml:space="preserve">be with blends. </w:t>
      </w:r>
      <w:r w:rsidR="00F96A62">
        <w:rPr>
          <w:rFonts w:ascii="Arial" w:hAnsi="Arial" w:cs="Arial"/>
          <w:sz w:val="20"/>
          <w:szCs w:val="20"/>
          <w:lang w:val="en-GB"/>
        </w:rPr>
        <w:t>Sucrose e</w:t>
      </w:r>
      <w:r w:rsidR="00433975" w:rsidRPr="00822B1E">
        <w:rPr>
          <w:rFonts w:ascii="Arial" w:hAnsi="Arial" w:cs="Arial"/>
          <w:sz w:val="20"/>
          <w:szCs w:val="20"/>
          <w:lang w:val="en-GB"/>
        </w:rPr>
        <w:t>quivalent sweetness levels</w:t>
      </w:r>
      <w:r w:rsidR="00166959">
        <w:rPr>
          <w:rFonts w:ascii="Arial" w:hAnsi="Arial" w:cs="Arial"/>
          <w:sz w:val="20"/>
          <w:szCs w:val="20"/>
          <w:lang w:val="en-GB"/>
        </w:rPr>
        <w:t xml:space="preserve"> </w:t>
      </w:r>
      <w:r w:rsidR="00433975" w:rsidRPr="00822B1E">
        <w:rPr>
          <w:rFonts w:ascii="Arial" w:hAnsi="Arial" w:cs="Arial"/>
          <w:sz w:val="20"/>
          <w:szCs w:val="20"/>
          <w:lang w:val="en-GB"/>
        </w:rPr>
        <w:t xml:space="preserve">for </w:t>
      </w:r>
      <w:proofErr w:type="gramStart"/>
      <w:r w:rsidR="00F96A62">
        <w:rPr>
          <w:rFonts w:ascii="Arial" w:hAnsi="Arial" w:cs="Arial"/>
          <w:sz w:val="20"/>
          <w:szCs w:val="20"/>
          <w:lang w:val="en-GB"/>
        </w:rPr>
        <w:t xml:space="preserve">artificial </w:t>
      </w:r>
      <w:r w:rsidR="00433975" w:rsidRPr="00822B1E">
        <w:rPr>
          <w:rFonts w:ascii="Arial" w:hAnsi="Arial" w:cs="Arial"/>
          <w:sz w:val="20"/>
          <w:szCs w:val="20"/>
          <w:lang w:val="en-GB"/>
        </w:rPr>
        <w:t xml:space="preserve"> sweeteners</w:t>
      </w:r>
      <w:proofErr w:type="gramEnd"/>
      <w:r w:rsidR="00433975" w:rsidRPr="00822B1E">
        <w:rPr>
          <w:rFonts w:ascii="Arial" w:hAnsi="Arial" w:cs="Arial"/>
          <w:sz w:val="20"/>
          <w:szCs w:val="20"/>
          <w:lang w:val="en-GB"/>
        </w:rPr>
        <w:t xml:space="preserve"> can be calculated based on their sweetness intensity (Fig </w:t>
      </w:r>
      <w:r w:rsidR="001F76BA">
        <w:rPr>
          <w:rFonts w:ascii="Arial" w:hAnsi="Arial" w:cs="Arial"/>
          <w:sz w:val="20"/>
          <w:szCs w:val="20"/>
          <w:lang w:val="en-GB"/>
        </w:rPr>
        <w:t>4</w:t>
      </w:r>
      <w:r w:rsidR="00433975" w:rsidRPr="00822B1E">
        <w:rPr>
          <w:rFonts w:ascii="Arial" w:hAnsi="Arial" w:cs="Arial"/>
          <w:sz w:val="20"/>
          <w:szCs w:val="20"/>
          <w:lang w:val="en-GB"/>
        </w:rPr>
        <w:t>)</w:t>
      </w:r>
      <w:r w:rsidR="00433975" w:rsidRPr="00822B1E">
        <w:rPr>
          <w:rFonts w:ascii="Arial" w:hAnsi="Arial" w:cs="Arial"/>
          <w:lang w:val="en-GB"/>
        </w:rPr>
        <w:t>.</w:t>
      </w:r>
    </w:p>
    <w:p w14:paraId="657E6E9E" w14:textId="42EC29F7" w:rsidR="00D36429" w:rsidRPr="00433975" w:rsidRDefault="00D36429" w:rsidP="00D36429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:lang w:val="fr-FR"/>
          <w14:ligatures w14:val="none"/>
        </w:rPr>
      </w:pPr>
      <w:r>
        <w:rPr>
          <w:rFonts w:ascii="Arial" w:eastAsia="Calibri" w:hAnsi="Arial" w:cs="Calibri"/>
          <w:b/>
          <w:noProof/>
          <w:kern w:val="0"/>
          <w:sz w:val="20"/>
          <w:szCs w:val="20"/>
        </w:rPr>
        <w:drawing>
          <wp:inline distT="0" distB="0" distL="0" distR="0" wp14:anchorId="7E1228D5" wp14:editId="5F96838E">
            <wp:extent cx="1533525" cy="1252220"/>
            <wp:effectExtent l="0" t="0" r="9525" b="5080"/>
            <wp:docPr id="943075748" name="Picture 1" descr="A graph of different colored objec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075748" name="Picture 1" descr="A graph of different colored object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102" cy="125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3975">
        <w:rPr>
          <w:rFonts w:ascii="Arial" w:eastAsia="Calibri" w:hAnsi="Arial" w:cs="Calibri"/>
          <w:b/>
          <w:kern w:val="0"/>
          <w:sz w:val="20"/>
          <w:szCs w:val="20"/>
          <w:lang w:val="fr-FR"/>
          <w14:ligatures w14:val="none"/>
        </w:rPr>
        <w:t xml:space="preserve">           </w:t>
      </w:r>
      <w:r>
        <w:rPr>
          <w:rFonts w:ascii="Arial" w:eastAsia="Calibri" w:hAnsi="Arial" w:cs="Calibri"/>
          <w:b/>
          <w:noProof/>
          <w:kern w:val="0"/>
          <w:sz w:val="20"/>
          <w:szCs w:val="20"/>
        </w:rPr>
        <w:drawing>
          <wp:inline distT="0" distB="0" distL="0" distR="0" wp14:anchorId="10519C01" wp14:editId="37C695A5">
            <wp:extent cx="1460500" cy="1261426"/>
            <wp:effectExtent l="0" t="0" r="6350" b="0"/>
            <wp:docPr id="1582425886" name="Picture 2" descr="A graph of different colored objec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425886" name="Picture 2" descr="A graph of different colored object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511" cy="126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3975">
        <w:rPr>
          <w:rFonts w:ascii="Arial" w:eastAsia="Calibri" w:hAnsi="Arial" w:cs="Calibri"/>
          <w:b/>
          <w:kern w:val="0"/>
          <w:sz w:val="20"/>
          <w:szCs w:val="20"/>
          <w:lang w:val="fr-FR"/>
          <w14:ligatures w14:val="none"/>
        </w:rPr>
        <w:t xml:space="preserve">  </w:t>
      </w:r>
      <w:r>
        <w:rPr>
          <w:rFonts w:ascii="Arial" w:eastAsia="Calibri" w:hAnsi="Arial" w:cs="Calibri"/>
          <w:b/>
          <w:noProof/>
          <w:kern w:val="0"/>
          <w:sz w:val="20"/>
          <w:szCs w:val="20"/>
        </w:rPr>
        <w:drawing>
          <wp:inline distT="0" distB="0" distL="0" distR="0" wp14:anchorId="5A91B425" wp14:editId="58679CBA">
            <wp:extent cx="2112578" cy="1261110"/>
            <wp:effectExtent l="0" t="0" r="2540" b="0"/>
            <wp:docPr id="1285596743" name="Picture 3" descr="A chart of different colo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596743" name="Picture 3" descr="A chart of different colored bar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59" cy="126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97FC1" w14:textId="6042D3DE" w:rsidR="00D36429" w:rsidRPr="00433975" w:rsidRDefault="00D36429" w:rsidP="00D36429">
      <w:pPr>
        <w:spacing w:after="0" w:line="240" w:lineRule="auto"/>
        <w:jc w:val="both"/>
        <w:rPr>
          <w:rFonts w:ascii="Arial" w:eastAsia="Calibri" w:hAnsi="Arial" w:cs="Calibri"/>
          <w:kern w:val="0"/>
          <w:sz w:val="16"/>
          <w:szCs w:val="16"/>
          <w:lang w:val="en-GB"/>
          <w14:ligatures w14:val="none"/>
        </w:rPr>
      </w:pPr>
      <w:r w:rsidRPr="00433975">
        <w:rPr>
          <w:rFonts w:ascii="Arial" w:eastAsia="Calibri" w:hAnsi="Arial" w:cs="Calibri"/>
          <w:b/>
          <w:bCs/>
          <w:kern w:val="0"/>
          <w:sz w:val="16"/>
          <w:szCs w:val="16"/>
          <w:lang w:val="fr-FR"/>
          <w14:ligatures w14:val="none"/>
        </w:rPr>
        <w:t xml:space="preserve">Figure </w:t>
      </w:r>
      <w:r w:rsidR="001F76BA">
        <w:rPr>
          <w:rFonts w:ascii="Arial" w:eastAsia="Calibri" w:hAnsi="Arial" w:cs="Calibri"/>
          <w:b/>
          <w:bCs/>
          <w:kern w:val="0"/>
          <w:sz w:val="16"/>
          <w:szCs w:val="16"/>
          <w:lang w:val="fr-FR"/>
          <w14:ligatures w14:val="none"/>
        </w:rPr>
        <w:t>2</w:t>
      </w:r>
      <w:r w:rsidRPr="00433975">
        <w:rPr>
          <w:rFonts w:ascii="Arial" w:eastAsia="Calibri" w:hAnsi="Arial" w:cs="Calibri"/>
          <w:b/>
          <w:bCs/>
          <w:kern w:val="0"/>
          <w:sz w:val="16"/>
          <w:szCs w:val="16"/>
          <w:lang w:val="fr-FR"/>
          <w14:ligatures w14:val="none"/>
        </w:rPr>
        <w:t>.</w:t>
      </w:r>
      <w:r w:rsidRPr="00433975">
        <w:rPr>
          <w:rFonts w:ascii="Arial" w:eastAsia="Calibri" w:hAnsi="Arial" w:cs="Calibri"/>
          <w:kern w:val="0"/>
          <w:sz w:val="16"/>
          <w:szCs w:val="16"/>
          <w:lang w:val="fr-FR"/>
          <w14:ligatures w14:val="none"/>
        </w:rPr>
        <w:t xml:space="preserve"> Concentration-            </w:t>
      </w:r>
      <w:r w:rsidR="00433975">
        <w:rPr>
          <w:rFonts w:ascii="Arial" w:eastAsia="Calibri" w:hAnsi="Arial" w:cs="Calibri"/>
          <w:kern w:val="0"/>
          <w:sz w:val="16"/>
          <w:szCs w:val="16"/>
          <w:lang w:val="fr-FR"/>
          <w14:ligatures w14:val="none"/>
        </w:rPr>
        <w:tab/>
      </w:r>
      <w:r w:rsidRPr="00433975">
        <w:rPr>
          <w:rFonts w:ascii="Arial" w:eastAsia="Calibri" w:hAnsi="Arial" w:cs="Calibri"/>
          <w:b/>
          <w:bCs/>
          <w:kern w:val="0"/>
          <w:sz w:val="16"/>
          <w:szCs w:val="16"/>
          <w:lang w:val="fr-FR"/>
          <w14:ligatures w14:val="none"/>
        </w:rPr>
        <w:t xml:space="preserve">Figure </w:t>
      </w:r>
      <w:r w:rsidR="001F76BA">
        <w:rPr>
          <w:rFonts w:ascii="Arial" w:eastAsia="Calibri" w:hAnsi="Arial" w:cs="Calibri"/>
          <w:b/>
          <w:bCs/>
          <w:kern w:val="0"/>
          <w:sz w:val="16"/>
          <w:szCs w:val="16"/>
          <w:lang w:val="fr-FR"/>
          <w14:ligatures w14:val="none"/>
        </w:rPr>
        <w:t>3</w:t>
      </w:r>
      <w:r w:rsidRPr="00433975">
        <w:rPr>
          <w:rFonts w:ascii="Arial" w:eastAsia="Calibri" w:hAnsi="Arial" w:cs="Calibri"/>
          <w:b/>
          <w:bCs/>
          <w:kern w:val="0"/>
          <w:sz w:val="16"/>
          <w:szCs w:val="16"/>
          <w:lang w:val="fr-FR"/>
          <w14:ligatures w14:val="none"/>
        </w:rPr>
        <w:t xml:space="preserve">. </w:t>
      </w:r>
      <w:r w:rsidRPr="00433975">
        <w:rPr>
          <w:rFonts w:ascii="Arial" w:eastAsia="Calibri" w:hAnsi="Arial" w:cs="Calibri"/>
          <w:kern w:val="0"/>
          <w:sz w:val="16"/>
          <w:szCs w:val="16"/>
          <w:lang w:val="fr-FR"/>
          <w14:ligatures w14:val="none"/>
        </w:rPr>
        <w:t xml:space="preserve">Aversive taste     </w:t>
      </w:r>
      <w:r w:rsidR="00433975">
        <w:rPr>
          <w:rFonts w:ascii="Arial" w:eastAsia="Calibri" w:hAnsi="Arial" w:cs="Calibri"/>
          <w:kern w:val="0"/>
          <w:sz w:val="16"/>
          <w:szCs w:val="16"/>
          <w:lang w:val="fr-FR"/>
          <w14:ligatures w14:val="none"/>
        </w:rPr>
        <w:tab/>
      </w:r>
      <w:r w:rsidR="00433975">
        <w:rPr>
          <w:rFonts w:ascii="Arial" w:eastAsia="Calibri" w:hAnsi="Arial" w:cs="Calibri"/>
          <w:kern w:val="0"/>
          <w:sz w:val="16"/>
          <w:szCs w:val="16"/>
          <w:lang w:val="fr-FR"/>
          <w14:ligatures w14:val="none"/>
        </w:rPr>
        <w:tab/>
      </w:r>
      <w:r w:rsidRPr="00433975">
        <w:rPr>
          <w:rFonts w:ascii="Arial" w:eastAsia="Calibri" w:hAnsi="Arial" w:cs="Calibri"/>
          <w:b/>
          <w:bCs/>
          <w:kern w:val="0"/>
          <w:sz w:val="16"/>
          <w:szCs w:val="16"/>
          <w:lang w:val="fr-FR"/>
          <w14:ligatures w14:val="none"/>
        </w:rPr>
        <w:t xml:space="preserve">Figure </w:t>
      </w:r>
      <w:r w:rsidR="001F76BA">
        <w:rPr>
          <w:rFonts w:ascii="Arial" w:eastAsia="Calibri" w:hAnsi="Arial" w:cs="Calibri"/>
          <w:b/>
          <w:bCs/>
          <w:kern w:val="0"/>
          <w:sz w:val="16"/>
          <w:szCs w:val="16"/>
          <w:lang w:val="fr-FR"/>
          <w14:ligatures w14:val="none"/>
        </w:rPr>
        <w:t>4</w:t>
      </w:r>
      <w:r w:rsidRPr="00433975">
        <w:rPr>
          <w:rFonts w:ascii="Arial" w:eastAsia="Calibri" w:hAnsi="Arial" w:cs="Calibri"/>
          <w:b/>
          <w:bCs/>
          <w:kern w:val="0"/>
          <w:sz w:val="16"/>
          <w:szCs w:val="16"/>
          <w:lang w:val="fr-FR"/>
          <w14:ligatures w14:val="none"/>
        </w:rPr>
        <w:t>.</w:t>
      </w:r>
      <w:r w:rsidRPr="00433975">
        <w:rPr>
          <w:rFonts w:ascii="Arial" w:eastAsia="Calibri" w:hAnsi="Arial" w:cs="Calibri"/>
          <w:kern w:val="0"/>
          <w:sz w:val="16"/>
          <w:szCs w:val="16"/>
          <w:lang w:val="fr-FR"/>
          <w14:ligatures w14:val="none"/>
        </w:rPr>
        <w:t xml:space="preserve"> </w:t>
      </w:r>
      <w:r w:rsidRPr="00433975">
        <w:rPr>
          <w:rFonts w:ascii="Arial" w:eastAsia="Calibri" w:hAnsi="Arial" w:cs="Calibri"/>
          <w:kern w:val="0"/>
          <w:sz w:val="16"/>
          <w:szCs w:val="16"/>
          <w:lang w:val="en-GB"/>
          <w14:ligatures w14:val="none"/>
        </w:rPr>
        <w:t xml:space="preserve">Sweetness intensity of </w:t>
      </w:r>
    </w:p>
    <w:p w14:paraId="2DE9C56E" w14:textId="706BB646" w:rsidR="00D36429" w:rsidRPr="00433975" w:rsidRDefault="00D36429" w:rsidP="00D36429">
      <w:pPr>
        <w:spacing w:after="0" w:line="240" w:lineRule="auto"/>
        <w:jc w:val="both"/>
        <w:rPr>
          <w:rFonts w:ascii="Arial" w:eastAsia="Calibri" w:hAnsi="Arial" w:cs="Calibri"/>
          <w:kern w:val="0"/>
          <w:sz w:val="16"/>
          <w:szCs w:val="16"/>
          <w:lang w:val="en-GB"/>
          <w14:ligatures w14:val="none"/>
        </w:rPr>
      </w:pPr>
      <w:r w:rsidRPr="00433975">
        <w:rPr>
          <w:rFonts w:ascii="Arial" w:eastAsia="Calibri" w:hAnsi="Arial" w:cs="Calibri"/>
          <w:kern w:val="0"/>
          <w:sz w:val="16"/>
          <w:szCs w:val="16"/>
          <w:lang w:val="en-GB"/>
          <w14:ligatures w14:val="none"/>
        </w:rPr>
        <w:t xml:space="preserve">response for bitter compound </w:t>
      </w:r>
      <w:r w:rsidRPr="00433975">
        <w:rPr>
          <w:rFonts w:ascii="Arial" w:eastAsia="Calibri" w:hAnsi="Arial" w:cs="Calibri"/>
          <w:b/>
          <w:bCs/>
          <w:kern w:val="0"/>
          <w:sz w:val="16"/>
          <w:szCs w:val="16"/>
          <w:lang w:val="en-GB"/>
          <w14:ligatures w14:val="none"/>
        </w:rPr>
        <w:t xml:space="preserve">    </w:t>
      </w:r>
      <w:r w:rsidR="00433975">
        <w:rPr>
          <w:rFonts w:ascii="Arial" w:eastAsia="Calibri" w:hAnsi="Arial" w:cs="Calibri"/>
          <w:b/>
          <w:bCs/>
          <w:kern w:val="0"/>
          <w:sz w:val="16"/>
          <w:szCs w:val="16"/>
          <w:lang w:val="en-GB"/>
          <w14:ligatures w14:val="none"/>
        </w:rPr>
        <w:tab/>
      </w:r>
      <w:r w:rsidRPr="00433975">
        <w:rPr>
          <w:rFonts w:ascii="Arial" w:eastAsia="Calibri" w:hAnsi="Arial" w:cs="Calibri"/>
          <w:kern w:val="0"/>
          <w:sz w:val="16"/>
          <w:szCs w:val="16"/>
          <w:lang w:val="en-GB"/>
          <w14:ligatures w14:val="none"/>
        </w:rPr>
        <w:t xml:space="preserve">mitigation with sucrose       </w:t>
      </w:r>
      <w:r w:rsidR="00433975">
        <w:rPr>
          <w:rFonts w:ascii="Arial" w:eastAsia="Calibri" w:hAnsi="Arial" w:cs="Calibri"/>
          <w:kern w:val="0"/>
          <w:sz w:val="16"/>
          <w:szCs w:val="16"/>
          <w:lang w:val="en-GB"/>
          <w14:ligatures w14:val="none"/>
        </w:rPr>
        <w:tab/>
      </w:r>
      <w:r w:rsidR="00433975">
        <w:rPr>
          <w:rFonts w:ascii="Arial" w:eastAsia="Calibri" w:hAnsi="Arial" w:cs="Calibri"/>
          <w:kern w:val="0"/>
          <w:sz w:val="16"/>
          <w:szCs w:val="16"/>
          <w:lang w:val="en-GB"/>
          <w14:ligatures w14:val="none"/>
        </w:rPr>
        <w:tab/>
      </w:r>
      <w:r w:rsidRPr="00433975">
        <w:rPr>
          <w:rFonts w:ascii="Arial" w:eastAsia="Calibri" w:hAnsi="Arial" w:cs="Calibri"/>
          <w:kern w:val="0"/>
          <w:sz w:val="16"/>
          <w:szCs w:val="16"/>
          <w:lang w:val="en-GB"/>
          <w14:ligatures w14:val="none"/>
        </w:rPr>
        <w:t xml:space="preserve">alternative sweeteners relative to sucrose </w:t>
      </w:r>
      <w:r w:rsidR="00433975">
        <w:rPr>
          <w:rFonts w:ascii="Arial" w:eastAsia="Calibri" w:hAnsi="Arial" w:cs="Calibri"/>
          <w:kern w:val="0"/>
          <w:sz w:val="16"/>
          <w:szCs w:val="16"/>
          <w:lang w:val="en-GB"/>
          <w14:ligatures w14:val="none"/>
        </w:rPr>
        <w:t>[</w:t>
      </w:r>
      <w:r w:rsidR="00C155EA">
        <w:rPr>
          <w:rFonts w:ascii="Arial" w:eastAsia="Calibri" w:hAnsi="Arial" w:cs="Calibri"/>
          <w:kern w:val="0"/>
          <w:sz w:val="16"/>
          <w:szCs w:val="16"/>
          <w:lang w:val="en-GB"/>
          <w14:ligatures w14:val="none"/>
        </w:rPr>
        <w:t>4</w:t>
      </w:r>
      <w:r w:rsidR="00433975">
        <w:rPr>
          <w:rFonts w:ascii="Arial" w:eastAsia="Calibri" w:hAnsi="Arial" w:cs="Calibri"/>
          <w:kern w:val="0"/>
          <w:sz w:val="16"/>
          <w:szCs w:val="16"/>
          <w:lang w:val="en-GB"/>
          <w14:ligatures w14:val="none"/>
        </w:rPr>
        <w:t>]</w:t>
      </w:r>
    </w:p>
    <w:p w14:paraId="7C47E79F" w14:textId="77777777" w:rsidR="00D36429" w:rsidRPr="00433975" w:rsidRDefault="00D36429" w:rsidP="00D36429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:lang w:val="en-GB"/>
          <w14:ligatures w14:val="none"/>
        </w:rPr>
      </w:pPr>
    </w:p>
    <w:p w14:paraId="6B80280D" w14:textId="513FE711" w:rsidR="00433975" w:rsidRPr="00D36429" w:rsidRDefault="00D36429" w:rsidP="00D36429">
      <w:p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</w:t>
      </w: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433975" w:rsidRPr="00433975">
        <w:rPr>
          <w:rFonts w:ascii="Arial" w:hAnsi="Arial" w:cs="Arial"/>
          <w:sz w:val="20"/>
          <w:szCs w:val="20"/>
          <w:lang w:val="en-GB"/>
        </w:rPr>
        <w:t xml:space="preserve">The BATA model effectively predicts bitterness and </w:t>
      </w:r>
      <w:r w:rsidR="00433975" w:rsidRPr="00D36429">
        <w:rPr>
          <w:rFonts w:ascii="Arial" w:hAnsi="Arial" w:cs="Arial"/>
          <w:sz w:val="20"/>
          <w:szCs w:val="20"/>
          <w:lang w:val="en-GB"/>
        </w:rPr>
        <w:t>can assess whether sweetness effectively mitigates aversive taste, and the level required to achieve this.</w:t>
      </w:r>
      <w:r w:rsidR="00433975" w:rsidRPr="00433975">
        <w:rPr>
          <w:rFonts w:ascii="Arial" w:hAnsi="Arial" w:cs="Arial"/>
          <w:sz w:val="20"/>
          <w:szCs w:val="20"/>
          <w:lang w:val="en-GB"/>
        </w:rPr>
        <w:t xml:space="preserve"> It supports formulation </w:t>
      </w:r>
      <w:r w:rsidR="00433975">
        <w:rPr>
          <w:rFonts w:ascii="Arial" w:hAnsi="Arial" w:cs="Arial"/>
          <w:sz w:val="20"/>
          <w:szCs w:val="20"/>
          <w:lang w:val="en-GB"/>
        </w:rPr>
        <w:t xml:space="preserve">(taste masking) </w:t>
      </w:r>
      <w:r w:rsidR="00433975" w:rsidRPr="00433975">
        <w:rPr>
          <w:rFonts w:ascii="Arial" w:hAnsi="Arial" w:cs="Arial"/>
          <w:sz w:val="20"/>
          <w:szCs w:val="20"/>
          <w:lang w:val="en-GB"/>
        </w:rPr>
        <w:t>decisions, reduces reliance on human sensory trials, and can accelerate the development of palatable paediatric medicines.</w:t>
      </w:r>
    </w:p>
    <w:p w14:paraId="6B2637C7" w14:textId="1B5DBFCB" w:rsidR="00D36429" w:rsidRPr="00C315D2" w:rsidRDefault="00D36429" w:rsidP="00D36429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3436C1F5" w14:textId="0B1DB916" w:rsidR="00D36429" w:rsidRPr="00433975" w:rsidRDefault="00D36429" w:rsidP="00D36429">
      <w:pPr>
        <w:spacing w:after="0" w:line="240" w:lineRule="auto"/>
        <w:contextualSpacing/>
        <w:rPr>
          <w:rFonts w:ascii="Arial" w:eastAsia="Calibri" w:hAnsi="Arial" w:cs="Calibri"/>
          <w:bCs/>
          <w:kern w:val="0"/>
          <w:sz w:val="16"/>
          <w:szCs w:val="16"/>
          <w:lang w:val="fr-FR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(</w:t>
      </w:r>
      <w:r w:rsidRPr="00433975">
        <w:rPr>
          <w:rFonts w:ascii="Arial" w:eastAsia="Calibri" w:hAnsi="Arial" w:cs="Calibri"/>
          <w:bCs/>
          <w:kern w:val="0"/>
          <w:sz w:val="16"/>
          <w:szCs w:val="16"/>
          <w:lang w:val="en-US"/>
          <w14:ligatures w14:val="none"/>
        </w:rPr>
        <w:t xml:space="preserve">1) Ranmal SR, Walsh J, Tuleu C. Front Drug Deliv. </w:t>
      </w:r>
      <w:proofErr w:type="gramStart"/>
      <w:r w:rsidRPr="00433975">
        <w:rPr>
          <w:rFonts w:ascii="Arial" w:eastAsia="Calibri" w:hAnsi="Arial" w:cs="Calibri"/>
          <w:bCs/>
          <w:kern w:val="0"/>
          <w:sz w:val="16"/>
          <w:szCs w:val="16"/>
          <w:lang w:val="fr-FR"/>
          <w14:ligatures w14:val="none"/>
        </w:rPr>
        <w:t>2025;</w:t>
      </w:r>
      <w:proofErr w:type="gramEnd"/>
      <w:r w:rsidRPr="00433975">
        <w:rPr>
          <w:rFonts w:ascii="Arial" w:eastAsia="Calibri" w:hAnsi="Arial" w:cs="Calibri"/>
          <w:bCs/>
          <w:kern w:val="0"/>
          <w:sz w:val="16"/>
          <w:szCs w:val="16"/>
          <w:lang w:val="fr-FR"/>
          <w14:ligatures w14:val="none"/>
        </w:rPr>
        <w:t xml:space="preserve"> </w:t>
      </w:r>
      <w:proofErr w:type="gramStart"/>
      <w:r w:rsidRPr="00433975">
        <w:rPr>
          <w:rFonts w:ascii="Arial" w:eastAsia="Calibri" w:hAnsi="Arial" w:cs="Calibri"/>
          <w:bCs/>
          <w:kern w:val="0"/>
          <w:sz w:val="16"/>
          <w:szCs w:val="16"/>
          <w:lang w:val="fr-FR"/>
          <w14:ligatures w14:val="none"/>
        </w:rPr>
        <w:t>5:</w:t>
      </w:r>
      <w:proofErr w:type="gramEnd"/>
      <w:r w:rsidRPr="00433975">
        <w:rPr>
          <w:rFonts w:ascii="Arial" w:eastAsia="Calibri" w:hAnsi="Arial" w:cs="Calibri"/>
          <w:bCs/>
          <w:kern w:val="0"/>
          <w:sz w:val="16"/>
          <w:szCs w:val="16"/>
          <w:lang w:val="fr-FR"/>
          <w14:ligatures w14:val="none"/>
        </w:rPr>
        <w:t>1553286.</w:t>
      </w:r>
      <w:r w:rsidR="00433975" w:rsidRPr="00433975">
        <w:rPr>
          <w:rFonts w:ascii="Arial" w:eastAsia="Calibri" w:hAnsi="Arial" w:cs="Calibri"/>
          <w:bCs/>
          <w:kern w:val="0"/>
          <w:sz w:val="16"/>
          <w:szCs w:val="16"/>
          <w:lang w:val="fr-FR"/>
          <w14:ligatures w14:val="none"/>
        </w:rPr>
        <w:t xml:space="preserve"> </w:t>
      </w:r>
      <w:hyperlink r:id="rId9" w:history="1">
        <w:r w:rsidR="00433975" w:rsidRPr="00433975">
          <w:rPr>
            <w:rStyle w:val="Hyperlink"/>
            <w:rFonts w:ascii="Arial" w:eastAsia="Calibri" w:hAnsi="Arial" w:cs="Calibri"/>
            <w:bCs/>
            <w:kern w:val="0"/>
            <w:sz w:val="16"/>
            <w:szCs w:val="16"/>
            <w:lang w:val="fr-FR"/>
            <w14:ligatures w14:val="none"/>
          </w:rPr>
          <w:t>http://doi.org/10.3389/fddev.2025.1553286</w:t>
        </w:r>
      </w:hyperlink>
    </w:p>
    <w:p w14:paraId="60207A50" w14:textId="5DF8BDAD" w:rsidR="00C155EA" w:rsidRPr="00433975" w:rsidRDefault="00C155EA" w:rsidP="00C155EA">
      <w:pPr>
        <w:spacing w:after="120" w:line="240" w:lineRule="auto"/>
        <w:contextualSpacing/>
        <w:jc w:val="both"/>
        <w:rPr>
          <w:rFonts w:ascii="Arial" w:hAnsi="Arial" w:cs="Arial"/>
          <w:sz w:val="16"/>
          <w:szCs w:val="16"/>
          <w:lang w:val="en-GB"/>
        </w:rPr>
      </w:pPr>
      <w:r w:rsidRPr="00433975">
        <w:rPr>
          <w:rFonts w:ascii="Arial" w:hAnsi="Arial" w:cs="Arial"/>
          <w:sz w:val="16"/>
          <w:szCs w:val="16"/>
          <w:lang w:val="fr-FR"/>
        </w:rPr>
        <w:t>(</w:t>
      </w:r>
      <w:r>
        <w:rPr>
          <w:rFonts w:ascii="Arial" w:hAnsi="Arial" w:cs="Arial"/>
          <w:sz w:val="16"/>
          <w:szCs w:val="16"/>
          <w:lang w:val="fr-FR"/>
        </w:rPr>
        <w:t>2</w:t>
      </w:r>
      <w:r w:rsidRPr="00433975">
        <w:rPr>
          <w:rFonts w:ascii="Arial" w:hAnsi="Arial" w:cs="Arial"/>
          <w:sz w:val="16"/>
          <w:szCs w:val="16"/>
          <w:lang w:val="fr-FR"/>
        </w:rPr>
        <w:t xml:space="preserve">) Soto J, et al. </w:t>
      </w:r>
      <w:proofErr w:type="spellStart"/>
      <w:r w:rsidRPr="00433975">
        <w:rPr>
          <w:rFonts w:ascii="Arial" w:hAnsi="Arial" w:cs="Arial"/>
          <w:sz w:val="16"/>
          <w:szCs w:val="16"/>
          <w:lang w:val="en-GB"/>
        </w:rPr>
        <w:t>Eur</w:t>
      </w:r>
      <w:proofErr w:type="spellEnd"/>
      <w:r w:rsidRPr="00433975">
        <w:rPr>
          <w:rFonts w:ascii="Arial" w:hAnsi="Arial" w:cs="Arial"/>
          <w:sz w:val="16"/>
          <w:szCs w:val="16"/>
          <w:lang w:val="en-GB"/>
        </w:rPr>
        <w:t xml:space="preserve"> J Pharm </w:t>
      </w:r>
      <w:proofErr w:type="spellStart"/>
      <w:r w:rsidRPr="00433975">
        <w:rPr>
          <w:rFonts w:ascii="Arial" w:hAnsi="Arial" w:cs="Arial"/>
          <w:sz w:val="16"/>
          <w:szCs w:val="16"/>
          <w:lang w:val="en-GB"/>
        </w:rPr>
        <w:t>Biopharm</w:t>
      </w:r>
      <w:proofErr w:type="spellEnd"/>
      <w:r w:rsidRPr="00433975">
        <w:rPr>
          <w:rFonts w:ascii="Arial" w:hAnsi="Arial" w:cs="Arial"/>
          <w:sz w:val="16"/>
          <w:szCs w:val="16"/>
          <w:lang w:val="en-GB"/>
        </w:rPr>
        <w:t xml:space="preserve">. 2018; 133:77-84. </w:t>
      </w:r>
      <w:hyperlink r:id="rId10" w:history="1">
        <w:r w:rsidRPr="00433975">
          <w:rPr>
            <w:rStyle w:val="Hyperlink"/>
            <w:rFonts w:ascii="Arial" w:hAnsi="Arial" w:cs="Arial"/>
            <w:sz w:val="16"/>
            <w:szCs w:val="16"/>
            <w:lang w:val="en-GB"/>
          </w:rPr>
          <w:t>https://doi.org/10.1016/j.ejpb.2018.09.027</w:t>
        </w:r>
      </w:hyperlink>
    </w:p>
    <w:p w14:paraId="6F61714B" w14:textId="2CAF53FC" w:rsidR="00D36429" w:rsidRPr="00166959" w:rsidRDefault="00D36429" w:rsidP="00D36429">
      <w:pPr>
        <w:spacing w:after="120" w:line="240" w:lineRule="auto"/>
        <w:contextualSpacing/>
        <w:jc w:val="both"/>
        <w:rPr>
          <w:rFonts w:ascii="Arial" w:hAnsi="Arial" w:cs="Arial"/>
          <w:sz w:val="16"/>
          <w:szCs w:val="16"/>
          <w:lang w:val="en-GB"/>
        </w:rPr>
      </w:pPr>
      <w:r w:rsidRPr="00433975">
        <w:rPr>
          <w:rFonts w:ascii="Arial" w:eastAsia="Calibri" w:hAnsi="Arial" w:cs="Calibri"/>
          <w:bCs/>
          <w:kern w:val="0"/>
          <w:sz w:val="16"/>
          <w:szCs w:val="16"/>
          <w:lang w:val="fr-FR"/>
          <w14:ligatures w14:val="none"/>
        </w:rPr>
        <w:t>(</w:t>
      </w:r>
      <w:r w:rsidR="00C155EA">
        <w:rPr>
          <w:rFonts w:ascii="Arial" w:eastAsia="Calibri" w:hAnsi="Arial" w:cs="Calibri"/>
          <w:bCs/>
          <w:kern w:val="0"/>
          <w:sz w:val="16"/>
          <w:szCs w:val="16"/>
          <w:lang w:val="fr-FR"/>
          <w14:ligatures w14:val="none"/>
        </w:rPr>
        <w:t>3</w:t>
      </w:r>
      <w:r w:rsidRPr="00433975">
        <w:rPr>
          <w:rFonts w:ascii="Arial" w:eastAsia="Calibri" w:hAnsi="Arial" w:cs="Arial"/>
          <w:bCs/>
          <w:kern w:val="0"/>
          <w:sz w:val="16"/>
          <w:szCs w:val="16"/>
          <w:lang w:val="fr-FR"/>
          <w14:ligatures w14:val="none"/>
        </w:rPr>
        <w:t xml:space="preserve">) </w:t>
      </w:r>
      <w:r w:rsidRPr="00433975">
        <w:rPr>
          <w:rFonts w:ascii="Arial" w:hAnsi="Arial" w:cs="Arial"/>
          <w:sz w:val="16"/>
          <w:szCs w:val="16"/>
          <w:lang w:val="fr-FR"/>
        </w:rPr>
        <w:t xml:space="preserve">Clapham D, et al. Pharmaceutics. </w:t>
      </w:r>
      <w:r w:rsidRPr="00166959">
        <w:rPr>
          <w:rFonts w:ascii="Arial" w:hAnsi="Arial" w:cs="Arial"/>
          <w:sz w:val="16"/>
          <w:szCs w:val="16"/>
          <w:lang w:val="en-GB"/>
        </w:rPr>
        <w:t xml:space="preserve">2023; 15:2319. </w:t>
      </w:r>
      <w:hyperlink r:id="rId11" w:history="1">
        <w:r w:rsidRPr="00166959">
          <w:rPr>
            <w:rStyle w:val="Hyperlink"/>
            <w:rFonts w:ascii="Arial" w:hAnsi="Arial" w:cs="Arial"/>
            <w:sz w:val="16"/>
            <w:szCs w:val="16"/>
            <w:lang w:val="en-GB"/>
          </w:rPr>
          <w:t>https://doi.org/10.3390/pharmaceutics15092319</w:t>
        </w:r>
      </w:hyperlink>
    </w:p>
    <w:p w14:paraId="5C1519AF" w14:textId="03D7DFD8" w:rsidR="00D36429" w:rsidRPr="00433975" w:rsidRDefault="00D36429" w:rsidP="00D36429">
      <w:pPr>
        <w:spacing w:after="120" w:line="240" w:lineRule="auto"/>
        <w:contextualSpacing/>
        <w:jc w:val="both"/>
        <w:rPr>
          <w:rFonts w:ascii="Arial" w:hAnsi="Arial" w:cs="Arial"/>
          <w:sz w:val="16"/>
          <w:szCs w:val="16"/>
          <w:lang w:val="en-GB"/>
        </w:rPr>
      </w:pPr>
      <w:r w:rsidRPr="00433975">
        <w:rPr>
          <w:rFonts w:ascii="Arial" w:hAnsi="Arial" w:cs="Arial"/>
          <w:sz w:val="16"/>
          <w:szCs w:val="16"/>
          <w:lang w:val="en-GB"/>
        </w:rPr>
        <w:t>(</w:t>
      </w:r>
      <w:r w:rsidR="00C155EA">
        <w:rPr>
          <w:rFonts w:ascii="Arial" w:hAnsi="Arial" w:cs="Arial"/>
          <w:sz w:val="16"/>
          <w:szCs w:val="16"/>
          <w:lang w:val="en-GB"/>
        </w:rPr>
        <w:t>4</w:t>
      </w:r>
      <w:r w:rsidRPr="00433975">
        <w:rPr>
          <w:rFonts w:ascii="Arial" w:hAnsi="Arial" w:cs="Arial"/>
          <w:sz w:val="16"/>
          <w:szCs w:val="16"/>
          <w:lang w:val="en-GB"/>
        </w:rPr>
        <w:t xml:space="preserve">) U.S. Food and Drug Administration. </w:t>
      </w:r>
      <w:hyperlink r:id="rId12" w:history="1">
        <w:r w:rsidRPr="00433975">
          <w:rPr>
            <w:rStyle w:val="Hyperlink"/>
            <w:rFonts w:ascii="Arial" w:hAnsi="Arial" w:cs="Arial"/>
            <w:i/>
            <w:iCs/>
            <w:sz w:val="16"/>
            <w:szCs w:val="16"/>
            <w:lang w:val="en-GB"/>
          </w:rPr>
          <w:t>Sweetness Intensity of Sweeteners Compared to Table Sugar.</w:t>
        </w:r>
      </w:hyperlink>
      <w:r w:rsidRPr="00433975">
        <w:rPr>
          <w:rFonts w:ascii="Arial" w:hAnsi="Arial" w:cs="Arial"/>
          <w:i/>
          <w:iCs/>
          <w:sz w:val="16"/>
          <w:szCs w:val="16"/>
          <w:lang w:val="en-GB"/>
        </w:rPr>
        <w:t xml:space="preserve"> </w:t>
      </w:r>
      <w:r w:rsidRPr="00433975">
        <w:rPr>
          <w:rFonts w:ascii="Arial" w:hAnsi="Arial" w:cs="Arial"/>
          <w:sz w:val="16"/>
          <w:szCs w:val="16"/>
          <w:lang w:val="en-GB"/>
        </w:rPr>
        <w:t>Accessed 18/06/25.</w:t>
      </w:r>
    </w:p>
    <w:p w14:paraId="1DC80FAA" w14:textId="1C8B3447" w:rsidR="00433975" w:rsidRPr="00433975" w:rsidRDefault="00433975" w:rsidP="00433975">
      <w:pPr>
        <w:spacing w:after="120" w:line="240" w:lineRule="auto"/>
        <w:contextualSpacing/>
        <w:jc w:val="both"/>
        <w:rPr>
          <w:rFonts w:ascii="Arial" w:hAnsi="Arial" w:cs="Arial"/>
          <w:sz w:val="20"/>
          <w:szCs w:val="20"/>
          <w:lang w:val="en-GB"/>
        </w:rPr>
      </w:pPr>
      <w:r w:rsidRPr="00433975">
        <w:rPr>
          <w:rFonts w:ascii="Arial" w:hAnsi="Arial" w:cs="Arial"/>
          <w:sz w:val="20"/>
          <w:szCs w:val="20"/>
          <w:lang w:val="en-GB"/>
        </w:rPr>
        <w:br/>
      </w:r>
    </w:p>
    <w:p w14:paraId="1F0DBFA1" w14:textId="2BAC782A" w:rsidR="00433975" w:rsidRPr="00433975" w:rsidRDefault="00433975" w:rsidP="00433975">
      <w:pPr>
        <w:spacing w:after="120" w:line="240" w:lineRule="auto"/>
        <w:contextualSpacing/>
        <w:jc w:val="both"/>
        <w:rPr>
          <w:rFonts w:ascii="Arial" w:hAnsi="Arial" w:cs="Arial"/>
          <w:sz w:val="20"/>
          <w:szCs w:val="20"/>
          <w:lang w:val="en-GB"/>
        </w:rPr>
      </w:pPr>
      <w:r w:rsidRPr="00433975">
        <w:rPr>
          <w:rFonts w:ascii="Arial" w:hAnsi="Arial" w:cs="Arial"/>
          <w:sz w:val="20"/>
          <w:szCs w:val="20"/>
          <w:lang w:val="en-GB"/>
        </w:rPr>
        <w:br/>
      </w:r>
    </w:p>
    <w:p w14:paraId="433041C4" w14:textId="77777777" w:rsidR="00433975" w:rsidRPr="00D36429" w:rsidRDefault="00433975" w:rsidP="00D36429">
      <w:pPr>
        <w:spacing w:after="120" w:line="240" w:lineRule="auto"/>
        <w:contextualSpacing/>
        <w:jc w:val="both"/>
        <w:rPr>
          <w:rFonts w:ascii="Arial" w:hAnsi="Arial" w:cs="Arial"/>
          <w:sz w:val="20"/>
          <w:szCs w:val="20"/>
          <w:lang w:val="en-GB"/>
        </w:rPr>
      </w:pPr>
    </w:p>
    <w:sectPr w:rsidR="00433975" w:rsidRPr="00D364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B2DC7"/>
    <w:multiLevelType w:val="hybridMultilevel"/>
    <w:tmpl w:val="4CA8463A"/>
    <w:lvl w:ilvl="0" w:tplc="B2282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BC6690"/>
    <w:multiLevelType w:val="hybridMultilevel"/>
    <w:tmpl w:val="80AE17F4"/>
    <w:lvl w:ilvl="0" w:tplc="FD6CC21E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15647"/>
    <w:multiLevelType w:val="hybridMultilevel"/>
    <w:tmpl w:val="040C87DC"/>
    <w:lvl w:ilvl="0" w:tplc="32E2566C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705781">
    <w:abstractNumId w:val="0"/>
  </w:num>
  <w:num w:numId="2" w16cid:durableId="1208764244">
    <w:abstractNumId w:val="2"/>
  </w:num>
  <w:num w:numId="3" w16cid:durableId="1577592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29"/>
    <w:rsid w:val="00166959"/>
    <w:rsid w:val="001F76BA"/>
    <w:rsid w:val="002102BC"/>
    <w:rsid w:val="00212450"/>
    <w:rsid w:val="00272971"/>
    <w:rsid w:val="002E74A1"/>
    <w:rsid w:val="00433975"/>
    <w:rsid w:val="00495509"/>
    <w:rsid w:val="0065043E"/>
    <w:rsid w:val="00802514"/>
    <w:rsid w:val="00822B1E"/>
    <w:rsid w:val="00A216C8"/>
    <w:rsid w:val="00AD53CC"/>
    <w:rsid w:val="00B732A3"/>
    <w:rsid w:val="00BA7FDC"/>
    <w:rsid w:val="00C155EA"/>
    <w:rsid w:val="00D36429"/>
    <w:rsid w:val="00E35119"/>
    <w:rsid w:val="00E71A66"/>
    <w:rsid w:val="00F33B78"/>
    <w:rsid w:val="00F96A62"/>
    <w:rsid w:val="00FC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701E1"/>
  <w15:chartTrackingRefBased/>
  <w15:docId w15:val="{D424943C-2E49-3E46-A2D5-0C104DC7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429"/>
    <w:rPr>
      <w:rFonts w:eastAsiaTheme="minorHAnsi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4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4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4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4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4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4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4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72"/>
    <w:qFormat/>
    <w:rsid w:val="00D364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4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4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4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64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4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6429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1F7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fda.gov/media/168345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oi.org/10.3390/pharmaceutics15092319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oi.org/10.1016/j.ejpb.2018.09.0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i.org/10.3389/fddev.2025.15532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Lo, Elim</dc:creator>
  <cp:keywords/>
  <dc:description/>
  <cp:lastModifiedBy>Tuleu, Catherine</cp:lastModifiedBy>
  <cp:revision>14</cp:revision>
  <dcterms:created xsi:type="dcterms:W3CDTF">2025-07-19T09:29:00Z</dcterms:created>
  <dcterms:modified xsi:type="dcterms:W3CDTF">2025-07-22T15:52:00Z</dcterms:modified>
</cp:coreProperties>
</file>