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EE0C" w14:textId="77777777" w:rsidR="005B401B" w:rsidRDefault="005B401B" w:rsidP="001042C1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 w:rsidRPr="005B401B">
        <w:rPr>
          <w:rFonts w:ascii="Calibri" w:hAnsi="Calibri" w:cs="Calibri"/>
          <w:b/>
          <w:sz w:val="20"/>
          <w:szCs w:val="20"/>
          <w:lang w:val="en-AU"/>
        </w:rPr>
        <w:t>Trends in hospital admissions from adverse drug reactions among older Australians</w:t>
      </w:r>
    </w:p>
    <w:p w14:paraId="5F6C15C9" w14:textId="3727B24C" w:rsidR="001042C1" w:rsidRPr="004E5450" w:rsidRDefault="001042C1" w:rsidP="001042C1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6D33AE">
        <w:rPr>
          <w:rFonts w:ascii="Calibri" w:hAnsi="Calibri" w:cs="Calibri"/>
          <w:sz w:val="20"/>
          <w:szCs w:val="20"/>
          <w:lang w:val="en-AU"/>
        </w:rPr>
        <w:t>Azizah Vonna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,2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Pr="006D33AE">
        <w:rPr>
          <w:rFonts w:ascii="Calibri" w:hAnsi="Calibri" w:cs="Calibri"/>
          <w:sz w:val="20"/>
          <w:szCs w:val="20"/>
          <w:lang w:val="en-AU"/>
        </w:rPr>
        <w:t>Mohammed S. Salahudeen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 xml:space="preserve"> &amp; Gregory M. Peterson</w:t>
      </w:r>
      <w:r w:rsidRPr="006D33AE">
        <w:rPr>
          <w:rFonts w:ascii="Calibri" w:hAnsi="Calibri" w:cs="Calibri"/>
          <w:sz w:val="20"/>
          <w:szCs w:val="20"/>
          <w:lang w:val="en-AU"/>
        </w:rPr>
        <w:t xml:space="preserve"> 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920D52" w:rsidRPr="00920D52">
        <w:rPr>
          <w:rFonts w:ascii="Calibri" w:hAnsi="Calibri" w:cs="Calibri"/>
          <w:sz w:val="20"/>
          <w:szCs w:val="20"/>
          <w:lang w:val="en-AU"/>
        </w:rPr>
        <w:t>School of Pharmacy and Pharmacology</w:t>
      </w:r>
      <w:r w:rsidRPr="006D33AE">
        <w:rPr>
          <w:rFonts w:ascii="Calibri" w:hAnsi="Calibri" w:cs="Calibri"/>
          <w:sz w:val="20"/>
          <w:szCs w:val="20"/>
          <w:lang w:val="en-AU"/>
        </w:rPr>
        <w:t xml:space="preserve">, Univ of Tasmania 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Hobart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TAS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; </w:t>
      </w:r>
      <w:r w:rsidRPr="006D33AE">
        <w:rPr>
          <w:rFonts w:ascii="Calibri" w:hAnsi="Calibri" w:cs="Calibri"/>
          <w:sz w:val="20"/>
          <w:szCs w:val="20"/>
          <w:lang w:val="en-AU"/>
        </w:rPr>
        <w:t>Dep</w:t>
      </w:r>
      <w:r w:rsidR="00455A30">
        <w:rPr>
          <w:rFonts w:ascii="Calibri" w:hAnsi="Calibri" w:cs="Calibri"/>
          <w:sz w:val="20"/>
          <w:szCs w:val="20"/>
          <w:lang w:val="en-AU"/>
        </w:rPr>
        <w:t>artment</w:t>
      </w:r>
      <w:r w:rsidRPr="006D33AE">
        <w:rPr>
          <w:rFonts w:ascii="Calibri" w:hAnsi="Calibri" w:cs="Calibri"/>
          <w:sz w:val="20"/>
          <w:szCs w:val="20"/>
          <w:lang w:val="en-AU"/>
        </w:rPr>
        <w:t xml:space="preserve"> of Pharm</w:t>
      </w:r>
      <w:r w:rsidR="00455A30">
        <w:rPr>
          <w:rFonts w:ascii="Calibri" w:hAnsi="Calibri" w:cs="Calibri"/>
          <w:sz w:val="20"/>
          <w:szCs w:val="20"/>
          <w:lang w:val="en-AU"/>
        </w:rPr>
        <w:t>acy</w:t>
      </w:r>
      <w:r w:rsidRPr="006D33AE">
        <w:rPr>
          <w:rFonts w:ascii="Calibri" w:hAnsi="Calibri" w:cs="Calibri"/>
          <w:sz w:val="20"/>
          <w:szCs w:val="20"/>
          <w:lang w:val="en-AU"/>
        </w:rPr>
        <w:t xml:space="preserve">, Univ Syiah Kuala </w:t>
      </w:r>
      <w:r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Banda Aceh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ACH</w:t>
      </w:r>
      <w:r w:rsidRPr="00EF12F3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Indonesia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4207FF3A" w14:textId="77777777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47D73733" w14:textId="3A52FC5C" w:rsidR="00711813" w:rsidRPr="00E22C47" w:rsidRDefault="00711813" w:rsidP="009D341A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22C47">
        <w:rPr>
          <w:rFonts w:ascii="Calibri" w:hAnsi="Calibri" w:cs="Calibri"/>
          <w:sz w:val="20"/>
          <w:szCs w:val="20"/>
          <w:lang w:val="en-AU"/>
        </w:rPr>
        <w:t xml:space="preserve">Introduction. </w:t>
      </w:r>
      <w:r w:rsidR="00443C3E" w:rsidRPr="00443C3E">
        <w:rPr>
          <w:rFonts w:ascii="Calibri" w:hAnsi="Calibri" w:cs="Calibri"/>
          <w:sz w:val="20"/>
          <w:szCs w:val="20"/>
          <w:lang w:val="en-AU"/>
        </w:rPr>
        <w:t xml:space="preserve">While there </w:t>
      </w:r>
      <w:r w:rsidR="0057637A" w:rsidRPr="00443C3E">
        <w:rPr>
          <w:rFonts w:ascii="Calibri" w:hAnsi="Calibri" w:cs="Calibri"/>
          <w:sz w:val="20"/>
          <w:szCs w:val="20"/>
          <w:lang w:val="en-AU"/>
        </w:rPr>
        <w:t>w</w:t>
      </w:r>
      <w:r w:rsidR="0057637A">
        <w:rPr>
          <w:rFonts w:ascii="Calibri" w:hAnsi="Calibri" w:cs="Calibri"/>
          <w:sz w:val="20"/>
          <w:szCs w:val="20"/>
          <w:lang w:val="en-AU"/>
        </w:rPr>
        <w:t>as</w:t>
      </w:r>
      <w:r w:rsidR="00443C3E" w:rsidRPr="00443C3E">
        <w:rPr>
          <w:rFonts w:ascii="Calibri" w:hAnsi="Calibri" w:cs="Calibri"/>
          <w:sz w:val="20"/>
          <w:szCs w:val="20"/>
          <w:lang w:val="en-AU"/>
        </w:rPr>
        <w:t xml:space="preserve"> considerable </w:t>
      </w:r>
      <w:r w:rsidR="0057637A" w:rsidRPr="00443C3E">
        <w:rPr>
          <w:rFonts w:ascii="Calibri" w:hAnsi="Calibri" w:cs="Calibri"/>
          <w:sz w:val="20"/>
          <w:szCs w:val="20"/>
          <w:lang w:val="en-AU"/>
        </w:rPr>
        <w:t>research</w:t>
      </w:r>
      <w:r w:rsidR="00443C3E" w:rsidRPr="00443C3E">
        <w:rPr>
          <w:rFonts w:ascii="Calibri" w:hAnsi="Calibri" w:cs="Calibri"/>
          <w:sz w:val="20"/>
          <w:szCs w:val="20"/>
          <w:lang w:val="en-AU"/>
        </w:rPr>
        <w:t xml:space="preserve"> into </w:t>
      </w:r>
      <w:r w:rsidR="00C412D1" w:rsidRPr="00E22C47">
        <w:rPr>
          <w:rFonts w:ascii="Calibri" w:hAnsi="Calibri" w:cs="Calibri"/>
          <w:sz w:val="20"/>
          <w:szCs w:val="20"/>
          <w:lang w:val="en-AU"/>
        </w:rPr>
        <w:t>adverse drug reaction (ADR)</w:t>
      </w:r>
      <w:r w:rsidR="00443C3E" w:rsidRPr="00443C3E">
        <w:rPr>
          <w:rFonts w:ascii="Calibri" w:hAnsi="Calibri" w:cs="Calibri"/>
          <w:sz w:val="20"/>
          <w:szCs w:val="20"/>
          <w:lang w:val="en-AU"/>
        </w:rPr>
        <w:t xml:space="preserve">-related </w:t>
      </w:r>
      <w:r w:rsidR="008D1FAE">
        <w:rPr>
          <w:rFonts w:ascii="Calibri" w:hAnsi="Calibri" w:cs="Calibri"/>
          <w:sz w:val="20"/>
          <w:szCs w:val="20"/>
          <w:lang w:val="en-AU"/>
        </w:rPr>
        <w:t xml:space="preserve">hospital </w:t>
      </w:r>
      <w:r w:rsidR="00443C3E" w:rsidRPr="00443C3E">
        <w:rPr>
          <w:rFonts w:ascii="Calibri" w:hAnsi="Calibri" w:cs="Calibri"/>
          <w:sz w:val="20"/>
          <w:szCs w:val="20"/>
          <w:lang w:val="en-AU"/>
        </w:rPr>
        <w:t>admissions among older adults in the late 1990s and early 2000s</w:t>
      </w:r>
      <w:r w:rsidR="008D1FAE">
        <w:rPr>
          <w:rFonts w:ascii="Calibri" w:hAnsi="Calibri" w:cs="Calibri"/>
          <w:sz w:val="20"/>
          <w:szCs w:val="20"/>
          <w:lang w:val="en-AU"/>
        </w:rPr>
        <w:t>,</w:t>
      </w:r>
      <w:r w:rsidR="0057637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43C3E" w:rsidRPr="00443C3E">
        <w:rPr>
          <w:rFonts w:ascii="Calibri" w:hAnsi="Calibri" w:cs="Calibri"/>
          <w:sz w:val="20"/>
          <w:szCs w:val="20"/>
          <w:lang w:val="en-AU"/>
        </w:rPr>
        <w:t xml:space="preserve">such studies have become </w:t>
      </w:r>
      <w:r w:rsidR="0057637A">
        <w:rPr>
          <w:rFonts w:ascii="Calibri" w:hAnsi="Calibri" w:cs="Calibri"/>
          <w:sz w:val="20"/>
          <w:szCs w:val="20"/>
          <w:lang w:val="en-AU"/>
        </w:rPr>
        <w:t>less common</w:t>
      </w:r>
      <w:r w:rsidR="00443C3E" w:rsidRPr="00443C3E">
        <w:rPr>
          <w:rFonts w:ascii="Calibri" w:hAnsi="Calibri" w:cs="Calibri"/>
          <w:sz w:val="20"/>
          <w:szCs w:val="20"/>
          <w:lang w:val="en-AU"/>
        </w:rPr>
        <w:t xml:space="preserve"> in recent years</w:t>
      </w:r>
      <w:r w:rsidR="008D1FAE">
        <w:rPr>
          <w:rFonts w:ascii="Calibri" w:hAnsi="Calibri" w:cs="Calibri"/>
          <w:sz w:val="20"/>
          <w:szCs w:val="20"/>
          <w:lang w:val="en-AU"/>
        </w:rPr>
        <w:t xml:space="preserve"> (Lim et al, 2022)</w:t>
      </w:r>
      <w:r w:rsidR="00443C3E" w:rsidRPr="00443C3E">
        <w:rPr>
          <w:rFonts w:ascii="Calibri" w:hAnsi="Calibri" w:cs="Calibri"/>
          <w:sz w:val="20"/>
          <w:szCs w:val="20"/>
          <w:lang w:val="en-AU"/>
        </w:rPr>
        <w:t>.</w:t>
      </w:r>
      <w:r w:rsidR="008D1FAE">
        <w:rPr>
          <w:rFonts w:ascii="Calibri" w:hAnsi="Calibri" w:cs="Calibri"/>
          <w:sz w:val="20"/>
          <w:szCs w:val="20"/>
          <w:lang w:val="en-AU"/>
        </w:rPr>
        <w:t xml:space="preserve"> It is therefore difficult to know whether the occurrence of these admissions has changed over time.</w:t>
      </w:r>
    </w:p>
    <w:p w14:paraId="266D8548" w14:textId="6BE3D75E" w:rsidR="00525F13" w:rsidRPr="00E22C47" w:rsidRDefault="00711813" w:rsidP="006E20E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22C47">
        <w:rPr>
          <w:rFonts w:ascii="Calibri" w:hAnsi="Calibri" w:cs="Calibri"/>
          <w:sz w:val="20"/>
          <w:szCs w:val="20"/>
          <w:lang w:val="en-AU"/>
        </w:rPr>
        <w:t xml:space="preserve">Aims. </w:t>
      </w:r>
      <w:r w:rsidR="003215B5" w:rsidRPr="00E22C47">
        <w:rPr>
          <w:rFonts w:ascii="Calibri" w:hAnsi="Calibri" w:cs="Calibri"/>
          <w:sz w:val="20"/>
          <w:szCs w:val="20"/>
          <w:lang w:val="en-AU"/>
        </w:rPr>
        <w:t xml:space="preserve">To investigate trends in </w:t>
      </w:r>
      <w:r w:rsidR="00C412D1">
        <w:rPr>
          <w:rFonts w:ascii="Calibri" w:hAnsi="Calibri" w:cs="Calibri"/>
          <w:sz w:val="20"/>
          <w:szCs w:val="20"/>
          <w:lang w:val="en-AU"/>
        </w:rPr>
        <w:t>ADR-</w:t>
      </w:r>
      <w:r w:rsidR="003215B5" w:rsidRPr="00E22C47">
        <w:rPr>
          <w:rFonts w:ascii="Calibri" w:hAnsi="Calibri" w:cs="Calibri"/>
          <w:sz w:val="20"/>
          <w:szCs w:val="20"/>
          <w:lang w:val="en-AU"/>
        </w:rPr>
        <w:t>related admission</w:t>
      </w:r>
      <w:r w:rsidR="008D1FAE">
        <w:rPr>
          <w:rFonts w:ascii="Calibri" w:hAnsi="Calibri" w:cs="Calibri"/>
          <w:sz w:val="20"/>
          <w:szCs w:val="20"/>
          <w:lang w:val="en-AU"/>
        </w:rPr>
        <w:t>s</w:t>
      </w:r>
      <w:r w:rsidR="003215B5" w:rsidRPr="00E22C47">
        <w:rPr>
          <w:rFonts w:ascii="Calibri" w:hAnsi="Calibri" w:cs="Calibri"/>
          <w:sz w:val="20"/>
          <w:szCs w:val="20"/>
          <w:lang w:val="en-AU"/>
        </w:rPr>
        <w:t xml:space="preserve"> and associated risk factors among older </w:t>
      </w:r>
      <w:r w:rsidR="00963CFF">
        <w:rPr>
          <w:rFonts w:ascii="Calibri" w:hAnsi="Calibri" w:cs="Calibri"/>
          <w:sz w:val="20"/>
          <w:szCs w:val="20"/>
          <w:lang w:val="en-AU"/>
        </w:rPr>
        <w:t xml:space="preserve">Australian </w:t>
      </w:r>
      <w:r w:rsidR="003215B5" w:rsidRPr="00E22C47">
        <w:rPr>
          <w:rFonts w:ascii="Calibri" w:hAnsi="Calibri" w:cs="Calibri"/>
          <w:sz w:val="20"/>
          <w:szCs w:val="20"/>
          <w:lang w:val="en-AU"/>
        </w:rPr>
        <w:t>adults.</w:t>
      </w:r>
    </w:p>
    <w:p w14:paraId="529EE842" w14:textId="3E48B3E6" w:rsidR="00711813" w:rsidRPr="00E22C47" w:rsidRDefault="001F218A" w:rsidP="005A2C30">
      <w:pPr>
        <w:rPr>
          <w:rFonts w:ascii="Calibri" w:hAnsi="Calibri" w:cs="Calibri"/>
          <w:sz w:val="20"/>
          <w:szCs w:val="20"/>
          <w:lang w:val="en-AU"/>
        </w:rPr>
      </w:pPr>
      <w:r w:rsidRPr="005538DD">
        <w:rPr>
          <w:noProof/>
          <w:lang w:val="en-AU"/>
        </w:rPr>
        <w:drawing>
          <wp:anchor distT="0" distB="0" distL="114300" distR="114300" simplePos="0" relativeHeight="251658240" behindDoc="1" locked="0" layoutInCell="1" allowOverlap="1" wp14:anchorId="54983207" wp14:editId="2527C580">
            <wp:simplePos x="0" y="0"/>
            <wp:positionH relativeFrom="column">
              <wp:posOffset>3498850</wp:posOffset>
            </wp:positionH>
            <wp:positionV relativeFrom="paragraph">
              <wp:posOffset>250190</wp:posOffset>
            </wp:positionV>
            <wp:extent cx="2645410" cy="1385570"/>
            <wp:effectExtent l="0" t="0" r="2540" b="5080"/>
            <wp:wrapTight wrapText="bothSides">
              <wp:wrapPolygon edited="0">
                <wp:start x="0" y="0"/>
                <wp:lineTo x="0" y="21382"/>
                <wp:lineTo x="21465" y="21382"/>
                <wp:lineTo x="21465" y="0"/>
                <wp:lineTo x="0" y="0"/>
              </wp:wrapPolygon>
            </wp:wrapTight>
            <wp:docPr id="1847360357" name="Picture 2" descr="A graph with numbers and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60357" name="Picture 2" descr="A graph with numbers and lin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" t="7532" r="8402" b="12746"/>
                    <a:stretch/>
                  </pic:blipFill>
                  <pic:spPr bwMode="auto">
                    <a:xfrm>
                      <a:off x="0" y="0"/>
                      <a:ext cx="264541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B5" w:rsidRPr="00E22C47">
        <w:rPr>
          <w:rFonts w:ascii="Calibri" w:hAnsi="Calibri" w:cs="Calibri"/>
          <w:sz w:val="20"/>
          <w:szCs w:val="20"/>
          <w:lang w:val="en-AU"/>
        </w:rPr>
        <w:t>Methods.</w:t>
      </w:r>
      <w:r w:rsidR="008D1FA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C412D1">
        <w:rPr>
          <w:rFonts w:ascii="Calibri" w:hAnsi="Calibri" w:cs="Calibri"/>
          <w:sz w:val="20"/>
          <w:szCs w:val="20"/>
          <w:lang w:val="en-AU"/>
        </w:rPr>
        <w:t xml:space="preserve">Using </w:t>
      </w:r>
      <w:r w:rsidR="006E20E3" w:rsidRPr="00E22C47">
        <w:rPr>
          <w:rFonts w:ascii="Calibri" w:hAnsi="Calibri" w:cs="Calibri"/>
          <w:sz w:val="20"/>
          <w:szCs w:val="20"/>
          <w:lang w:val="en-AU"/>
        </w:rPr>
        <w:t xml:space="preserve">data from the Australian National Minimum Data Set (NMDS), we identified older adults </w:t>
      </w:r>
      <w:r w:rsidR="00B7528E">
        <w:rPr>
          <w:rFonts w:ascii="Calibri" w:hAnsi="Calibri" w:cs="Calibri"/>
          <w:sz w:val="20"/>
          <w:szCs w:val="20"/>
          <w:lang w:val="en-AU"/>
        </w:rPr>
        <w:t>(</w:t>
      </w:r>
      <w:r w:rsidR="00B7528E" w:rsidRPr="00B7528E">
        <w:rPr>
          <w:rFonts w:ascii="Calibri" w:hAnsi="Calibri" w:cs="Calibri"/>
          <w:sz w:val="20"/>
          <w:szCs w:val="20"/>
          <w:lang w:val="en-AU"/>
        </w:rPr>
        <w:t xml:space="preserve">aged </w:t>
      </w:r>
      <w:r w:rsidR="00B7528E" w:rsidRPr="00B7528E">
        <w:rPr>
          <w:rFonts w:ascii="Calibri" w:hAnsi="Calibri" w:cs="Calibri" w:hint="eastAsia"/>
          <w:sz w:val="20"/>
          <w:szCs w:val="20"/>
          <w:lang w:val="en-AU"/>
        </w:rPr>
        <w:t>≥</w:t>
      </w:r>
      <w:r w:rsidR="00B7528E">
        <w:rPr>
          <w:rFonts w:ascii="Calibri" w:hAnsi="Calibri" w:cs="Calibri"/>
          <w:sz w:val="20"/>
          <w:szCs w:val="20"/>
          <w:lang w:val="en-AU"/>
        </w:rPr>
        <w:t>65</w:t>
      </w:r>
      <w:r w:rsidR="00B7528E" w:rsidRPr="00B7528E">
        <w:rPr>
          <w:rFonts w:ascii="Calibri" w:hAnsi="Calibri" w:cs="Calibri"/>
          <w:sz w:val="20"/>
          <w:szCs w:val="20"/>
          <w:lang w:val="en-AU"/>
        </w:rPr>
        <w:t xml:space="preserve"> years</w:t>
      </w:r>
      <w:r w:rsidR="00B7528E">
        <w:rPr>
          <w:rFonts w:ascii="Calibri" w:hAnsi="Calibri" w:cs="Calibri"/>
          <w:sz w:val="20"/>
          <w:szCs w:val="20"/>
          <w:lang w:val="en-AU"/>
        </w:rPr>
        <w:t xml:space="preserve">) </w:t>
      </w:r>
      <w:r w:rsidR="006E20E3" w:rsidRPr="00E22C47">
        <w:rPr>
          <w:rFonts w:ascii="Calibri" w:hAnsi="Calibri" w:cs="Calibri"/>
          <w:sz w:val="20"/>
          <w:szCs w:val="20"/>
          <w:lang w:val="en-AU"/>
        </w:rPr>
        <w:t xml:space="preserve">admitted to Tasmanian public hospitals </w:t>
      </w:r>
      <w:r w:rsidR="00CC4850" w:rsidRPr="00DC135F">
        <w:rPr>
          <w:rFonts w:ascii="Calibri" w:hAnsi="Calibri" w:cs="Calibri"/>
          <w:sz w:val="20"/>
          <w:szCs w:val="20"/>
          <w:lang w:val="en-AU"/>
        </w:rPr>
        <w:t>from 2017 to 202</w:t>
      </w:r>
      <w:r w:rsidR="00CC4850">
        <w:rPr>
          <w:rFonts w:ascii="Calibri" w:hAnsi="Calibri" w:cs="Calibri"/>
          <w:sz w:val="20"/>
          <w:szCs w:val="20"/>
          <w:lang w:val="en-AU"/>
        </w:rPr>
        <w:t xml:space="preserve">3 </w:t>
      </w:r>
      <w:r w:rsidR="006E20E3" w:rsidRPr="00E22C47">
        <w:rPr>
          <w:rFonts w:ascii="Calibri" w:hAnsi="Calibri" w:cs="Calibri"/>
          <w:sz w:val="20"/>
          <w:szCs w:val="20"/>
          <w:lang w:val="en-AU"/>
        </w:rPr>
        <w:t>due to ADR</w:t>
      </w:r>
      <w:r w:rsidR="004439E4">
        <w:rPr>
          <w:rFonts w:ascii="Calibri" w:hAnsi="Calibri" w:cs="Calibri"/>
          <w:sz w:val="20"/>
          <w:szCs w:val="20"/>
          <w:lang w:val="en-AU"/>
        </w:rPr>
        <w:t>s</w:t>
      </w:r>
      <w:r w:rsidR="006E20E3" w:rsidRPr="00E22C4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C135F" w:rsidRPr="00DC135F">
        <w:rPr>
          <w:rFonts w:ascii="Calibri" w:hAnsi="Calibri" w:cs="Calibri"/>
          <w:sz w:val="20"/>
          <w:szCs w:val="20"/>
          <w:lang w:val="en-AU"/>
        </w:rPr>
        <w:t>(</w:t>
      </w:r>
      <w:r w:rsidR="009F5FC0">
        <w:rPr>
          <w:rFonts w:ascii="Calibri" w:hAnsi="Calibri" w:cs="Calibri"/>
          <w:sz w:val="20"/>
          <w:szCs w:val="20"/>
          <w:lang w:val="en-AU"/>
        </w:rPr>
        <w:t>using</w:t>
      </w:r>
      <w:r w:rsidR="00DC135F" w:rsidRPr="00DC135F">
        <w:rPr>
          <w:rFonts w:ascii="Calibri" w:hAnsi="Calibri" w:cs="Calibri"/>
          <w:sz w:val="20"/>
          <w:szCs w:val="20"/>
          <w:lang w:val="en-AU"/>
        </w:rPr>
        <w:t xml:space="preserve"> the International Statistical Classification of Diseases and Related Health Problems, Tenth Revision, Australian Modification (ICD-10-AM)). Trends were analysed using a trend analysis</w:t>
      </w:r>
      <w:r w:rsidR="00C21F75">
        <w:rPr>
          <w:rFonts w:ascii="Calibri" w:hAnsi="Calibri" w:cs="Calibri"/>
          <w:sz w:val="20"/>
          <w:szCs w:val="20"/>
          <w:lang w:val="en-AU"/>
        </w:rPr>
        <w:t xml:space="preserve"> and</w:t>
      </w:r>
      <w:r w:rsidR="00DC135F" w:rsidRPr="00DC135F">
        <w:rPr>
          <w:rFonts w:ascii="Calibri" w:hAnsi="Calibri" w:cs="Calibri"/>
          <w:sz w:val="20"/>
          <w:szCs w:val="20"/>
          <w:lang w:val="en-AU"/>
        </w:rPr>
        <w:t xml:space="preserve"> risk factors were</w:t>
      </w:r>
      <w:r w:rsidR="00BF51A5">
        <w:rPr>
          <w:rFonts w:ascii="Calibri" w:hAnsi="Calibri" w:cs="Calibri"/>
          <w:sz w:val="20"/>
          <w:szCs w:val="20"/>
          <w:lang w:val="en-AU"/>
        </w:rPr>
        <w:t xml:space="preserve"> assessed</w:t>
      </w:r>
      <w:r w:rsidR="00DC135F" w:rsidRPr="00DC135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12D0A">
        <w:rPr>
          <w:rFonts w:ascii="Calibri" w:hAnsi="Calibri" w:cs="Calibri"/>
          <w:sz w:val="20"/>
          <w:szCs w:val="20"/>
          <w:lang w:val="en-AU"/>
        </w:rPr>
        <w:t>using a</w:t>
      </w:r>
      <w:r w:rsidR="00DC135F" w:rsidRPr="00DC135F">
        <w:rPr>
          <w:rFonts w:ascii="Calibri" w:hAnsi="Calibri" w:cs="Calibri"/>
          <w:sz w:val="20"/>
          <w:szCs w:val="20"/>
          <w:lang w:val="en-AU"/>
        </w:rPr>
        <w:t xml:space="preserve"> regression model.</w:t>
      </w:r>
    </w:p>
    <w:p w14:paraId="3541024C" w14:textId="5F645FC5" w:rsidR="00443C3E" w:rsidRPr="00E22C47" w:rsidRDefault="00711813" w:rsidP="00443C3E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E22C47">
        <w:rPr>
          <w:rFonts w:ascii="Calibri" w:hAnsi="Calibri" w:cs="Calibri"/>
          <w:sz w:val="20"/>
          <w:szCs w:val="20"/>
          <w:lang w:val="en-AU"/>
        </w:rPr>
        <w:t xml:space="preserve">Results. </w:t>
      </w:r>
      <w:r w:rsidR="009F5847" w:rsidRPr="00443C3E">
        <w:rPr>
          <w:rFonts w:ascii="Calibri" w:hAnsi="Calibri" w:cs="Calibri"/>
          <w:sz w:val="20"/>
          <w:szCs w:val="20"/>
          <w:lang w:val="en-AU"/>
        </w:rPr>
        <w:t xml:space="preserve">A total of 28,293 out of 444,447 admissions (6.5%) were </w:t>
      </w:r>
      <w:r w:rsidR="009F5847">
        <w:rPr>
          <w:rFonts w:ascii="Calibri" w:hAnsi="Calibri" w:cs="Calibri"/>
          <w:sz w:val="20"/>
          <w:szCs w:val="20"/>
          <w:lang w:val="en-AU"/>
        </w:rPr>
        <w:t>coded</w:t>
      </w:r>
      <w:r w:rsidR="009F5847" w:rsidRPr="00443C3E">
        <w:rPr>
          <w:rFonts w:ascii="Calibri" w:hAnsi="Calibri" w:cs="Calibri"/>
          <w:sz w:val="20"/>
          <w:szCs w:val="20"/>
          <w:lang w:val="en-AU"/>
        </w:rPr>
        <w:t xml:space="preserve"> as ADR-related, with </w:t>
      </w:r>
      <w:r w:rsidR="009F5847">
        <w:rPr>
          <w:rFonts w:ascii="Calibri" w:hAnsi="Calibri" w:cs="Calibri"/>
          <w:sz w:val="20"/>
          <w:szCs w:val="20"/>
          <w:lang w:val="en-AU"/>
        </w:rPr>
        <w:t xml:space="preserve">annual </w:t>
      </w:r>
      <w:r w:rsidR="009F5847" w:rsidRPr="00443C3E">
        <w:rPr>
          <w:rFonts w:ascii="Calibri" w:hAnsi="Calibri" w:cs="Calibri"/>
          <w:sz w:val="20"/>
          <w:szCs w:val="20"/>
          <w:lang w:val="en-AU"/>
        </w:rPr>
        <w:t>percentage</w:t>
      </w:r>
      <w:r w:rsidR="009F5847">
        <w:rPr>
          <w:rFonts w:ascii="Calibri" w:hAnsi="Calibri" w:cs="Calibri"/>
          <w:sz w:val="20"/>
          <w:szCs w:val="20"/>
          <w:lang w:val="en-AU"/>
        </w:rPr>
        <w:t>s</w:t>
      </w:r>
      <w:r w:rsidR="009F5847" w:rsidRPr="00443C3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F5847" w:rsidRPr="005A286F">
        <w:rPr>
          <w:rFonts w:ascii="Calibri" w:hAnsi="Calibri" w:cs="Calibri"/>
          <w:sz w:val="20"/>
          <w:szCs w:val="20"/>
          <w:lang w:val="en-AU"/>
        </w:rPr>
        <w:t>relatively constant during the observation period</w:t>
      </w:r>
      <w:r w:rsidR="009F5847">
        <w:rPr>
          <w:rFonts w:ascii="Calibri" w:hAnsi="Calibri" w:cs="Calibri"/>
          <w:sz w:val="20"/>
          <w:szCs w:val="20"/>
          <w:lang w:val="en-AU"/>
        </w:rPr>
        <w:t xml:space="preserve"> (p≥0.05)</w:t>
      </w:r>
      <w:r w:rsidR="009F5847" w:rsidRPr="00443C3E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246FE3">
        <w:rPr>
          <w:rFonts w:ascii="Calibri" w:hAnsi="Calibri" w:cs="Calibri"/>
          <w:sz w:val="20"/>
          <w:szCs w:val="20"/>
          <w:lang w:val="en-AU"/>
        </w:rPr>
        <w:t>Of all admitted patients</w:t>
      </w:r>
      <w:r w:rsidR="00443C3E" w:rsidRPr="00443C3E">
        <w:rPr>
          <w:rFonts w:ascii="Calibri" w:hAnsi="Calibri" w:cs="Calibri"/>
          <w:sz w:val="20"/>
          <w:szCs w:val="20"/>
          <w:lang w:val="en-AU"/>
        </w:rPr>
        <w:t>, 9,238 (14.3%) experienced at least one ADR-related admission</w:t>
      </w:r>
      <w:r w:rsidR="00BF5D2E">
        <w:rPr>
          <w:rFonts w:ascii="Calibri" w:hAnsi="Calibri" w:cs="Calibri"/>
          <w:sz w:val="20"/>
          <w:szCs w:val="20"/>
          <w:lang w:val="en-AU"/>
        </w:rPr>
        <w:t xml:space="preserve"> over the study period</w:t>
      </w:r>
      <w:r w:rsidR="00443C3E" w:rsidRPr="00443C3E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43C58">
        <w:rPr>
          <w:rFonts w:ascii="Calibri" w:hAnsi="Calibri" w:cs="Calibri"/>
          <w:sz w:val="20"/>
          <w:szCs w:val="20"/>
          <w:lang w:val="en-AU"/>
        </w:rPr>
        <w:t>C</w:t>
      </w:r>
      <w:r w:rsidR="00443C3E" w:rsidRPr="00443C3E">
        <w:rPr>
          <w:rFonts w:ascii="Calibri" w:hAnsi="Calibri" w:cs="Calibri"/>
          <w:sz w:val="20"/>
          <w:szCs w:val="20"/>
          <w:lang w:val="en-AU"/>
        </w:rPr>
        <w:t xml:space="preserve">ancer, peptic ulcer disease, and musculoskeletal disease were associated with the highest risk, with </w:t>
      </w:r>
      <w:r w:rsidR="00A020FE">
        <w:rPr>
          <w:rFonts w:ascii="Calibri" w:hAnsi="Calibri" w:cs="Calibri"/>
          <w:sz w:val="20"/>
          <w:szCs w:val="20"/>
          <w:lang w:val="en-AU"/>
        </w:rPr>
        <w:t xml:space="preserve">adjusted </w:t>
      </w:r>
      <w:r w:rsidR="00443C3E" w:rsidRPr="00443C3E">
        <w:rPr>
          <w:rFonts w:ascii="Calibri" w:hAnsi="Calibri" w:cs="Calibri"/>
          <w:sz w:val="20"/>
          <w:szCs w:val="20"/>
          <w:lang w:val="en-AU"/>
        </w:rPr>
        <w:t>odds ratios of 5.67 (95% CI: 5.32-6.05; p &lt; 0.0001), 3.21 (95% CI: 2.58-4.00; p &lt; 0.0001), and 2.98 (95% CI: 2.82-3.16; p &lt; 0.0001), respectively.</w:t>
      </w:r>
    </w:p>
    <w:p w14:paraId="3A252786" w14:textId="13398979" w:rsidR="00BD20E2" w:rsidRDefault="00711813" w:rsidP="003B0808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9D341A">
        <w:rPr>
          <w:rFonts w:ascii="Calibri" w:hAnsi="Calibri" w:cs="Calibri"/>
          <w:sz w:val="20"/>
          <w:szCs w:val="20"/>
          <w:lang w:val="en-AU"/>
        </w:rPr>
        <w:t>Discussion.</w:t>
      </w:r>
      <w:r w:rsidR="00726F7E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9D7C3B" w:rsidRPr="009D7C3B">
        <w:rPr>
          <w:rFonts w:ascii="Calibri" w:hAnsi="Calibri" w:cs="Calibri"/>
          <w:sz w:val="20"/>
          <w:szCs w:val="20"/>
          <w:lang w:val="en-AU"/>
        </w:rPr>
        <w:t>The rate of ADR</w:t>
      </w:r>
      <w:r w:rsidR="003B0808">
        <w:rPr>
          <w:rFonts w:ascii="Calibri" w:hAnsi="Calibri" w:cs="Calibri"/>
          <w:sz w:val="20"/>
          <w:szCs w:val="20"/>
          <w:lang w:val="en-AU"/>
        </w:rPr>
        <w:t>-</w:t>
      </w:r>
      <w:r w:rsidR="009D7C3B" w:rsidRPr="009D7C3B">
        <w:rPr>
          <w:rFonts w:ascii="Calibri" w:hAnsi="Calibri" w:cs="Calibri"/>
          <w:sz w:val="20"/>
          <w:szCs w:val="20"/>
          <w:lang w:val="en-AU"/>
        </w:rPr>
        <w:t xml:space="preserve">related hospitalisations </w:t>
      </w:r>
      <w:r w:rsidR="00D83900" w:rsidRPr="00D83900">
        <w:rPr>
          <w:rFonts w:ascii="Calibri" w:hAnsi="Calibri" w:cs="Calibri"/>
          <w:sz w:val="20"/>
          <w:szCs w:val="20"/>
          <w:lang w:val="en-AU"/>
        </w:rPr>
        <w:t>remained stable during</w:t>
      </w:r>
      <w:r w:rsidR="009D7C3B" w:rsidRPr="009D7C3B">
        <w:rPr>
          <w:rFonts w:ascii="Calibri" w:hAnsi="Calibri" w:cs="Calibri"/>
          <w:sz w:val="20"/>
          <w:szCs w:val="20"/>
          <w:lang w:val="en-AU"/>
        </w:rPr>
        <w:t xml:space="preserve"> the observation period</w:t>
      </w:r>
      <w:r w:rsidR="00A85124">
        <w:rPr>
          <w:rFonts w:ascii="Calibri" w:hAnsi="Calibri" w:cs="Calibri"/>
          <w:sz w:val="20"/>
          <w:szCs w:val="20"/>
          <w:lang w:val="en-AU"/>
        </w:rPr>
        <w:t>,</w:t>
      </w:r>
      <w:r w:rsidR="00A85124" w:rsidRPr="00A85124">
        <w:t xml:space="preserve"> </w:t>
      </w:r>
      <w:r w:rsidR="00355742">
        <w:rPr>
          <w:rFonts w:ascii="Calibri" w:hAnsi="Calibri" w:cs="Calibri"/>
          <w:sz w:val="20"/>
          <w:szCs w:val="20"/>
          <w:lang w:val="en-AU"/>
        </w:rPr>
        <w:t>though</w:t>
      </w:r>
      <w:r w:rsidR="00A85124" w:rsidRPr="00A85124">
        <w:rPr>
          <w:rFonts w:ascii="Calibri" w:hAnsi="Calibri" w:cs="Calibri"/>
          <w:sz w:val="20"/>
          <w:szCs w:val="20"/>
          <w:lang w:val="en-AU"/>
        </w:rPr>
        <w:t xml:space="preserve"> the overall percentage is notably higher than findings from similar studies using </w:t>
      </w:r>
      <w:r w:rsidR="00B915E6">
        <w:rPr>
          <w:rFonts w:ascii="Calibri" w:hAnsi="Calibri" w:cs="Calibri"/>
          <w:sz w:val="20"/>
          <w:szCs w:val="20"/>
          <w:lang w:val="en-AU"/>
        </w:rPr>
        <w:t>admini</w:t>
      </w:r>
      <w:r w:rsidR="00BE1662">
        <w:rPr>
          <w:rFonts w:ascii="Calibri" w:hAnsi="Calibri" w:cs="Calibri"/>
          <w:sz w:val="20"/>
          <w:szCs w:val="20"/>
          <w:lang w:val="en-AU"/>
        </w:rPr>
        <w:t xml:space="preserve">strative </w:t>
      </w:r>
      <w:r w:rsidR="00A85124" w:rsidRPr="00A85124">
        <w:rPr>
          <w:rFonts w:ascii="Calibri" w:hAnsi="Calibri" w:cs="Calibri"/>
          <w:sz w:val="20"/>
          <w:szCs w:val="20"/>
          <w:lang w:val="en-AU"/>
        </w:rPr>
        <w:t>data from the early 2010s (Lim et al., 2022).</w:t>
      </w:r>
      <w:r w:rsidR="00BE166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3B0808" w:rsidRPr="003B0808">
        <w:rPr>
          <w:rFonts w:ascii="Calibri" w:hAnsi="Calibri" w:cs="Calibri"/>
          <w:sz w:val="20"/>
          <w:szCs w:val="20"/>
          <w:lang w:val="en-AU"/>
        </w:rPr>
        <w:t>Despite an increasing focus on medicines safety, these findings suggest that significant improvements in reducing ADR-related admissions have yet to be achieved.</w:t>
      </w:r>
    </w:p>
    <w:p w14:paraId="0106DF9C" w14:textId="77777777" w:rsidR="003B0808" w:rsidRDefault="003B0808" w:rsidP="003B0808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542EFA1C" w14:textId="6C6A9694" w:rsidR="00C412D1" w:rsidRPr="009D341A" w:rsidRDefault="00BD20E2" w:rsidP="005D5124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BD20E2">
        <w:rPr>
          <w:rFonts w:ascii="Calibri" w:hAnsi="Calibri" w:cs="Calibri"/>
          <w:sz w:val="20"/>
          <w:szCs w:val="20"/>
          <w:lang w:val="en-AU"/>
        </w:rPr>
        <w:t>Lim R et al (2022) Drug Saf 45:249–257.</w:t>
      </w:r>
    </w:p>
    <w:sectPr w:rsidR="00C412D1" w:rsidRPr="009D341A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ass9w9vppevdetx2ivfsd2p5rsavrppvrs&quot;&gt;Azizah PhD EndNote Library&lt;record-ids&gt;&lt;item&gt;251&lt;/item&gt;&lt;/record-ids&gt;&lt;/item&gt;&lt;/Libraries&gt;"/>
  </w:docVars>
  <w:rsids>
    <w:rsidRoot w:val="002226BB"/>
    <w:rsid w:val="00055BA3"/>
    <w:rsid w:val="00072526"/>
    <w:rsid w:val="00080224"/>
    <w:rsid w:val="000A4FA6"/>
    <w:rsid w:val="000C5060"/>
    <w:rsid w:val="000F11E7"/>
    <w:rsid w:val="001042C1"/>
    <w:rsid w:val="00122EFE"/>
    <w:rsid w:val="00143C58"/>
    <w:rsid w:val="00176C0F"/>
    <w:rsid w:val="001A72F0"/>
    <w:rsid w:val="001E2F46"/>
    <w:rsid w:val="001F218A"/>
    <w:rsid w:val="00207B94"/>
    <w:rsid w:val="002226BB"/>
    <w:rsid w:val="002272B0"/>
    <w:rsid w:val="00236495"/>
    <w:rsid w:val="00246FE3"/>
    <w:rsid w:val="00295206"/>
    <w:rsid w:val="002C116F"/>
    <w:rsid w:val="002D2978"/>
    <w:rsid w:val="00300B92"/>
    <w:rsid w:val="003215B5"/>
    <w:rsid w:val="003231F9"/>
    <w:rsid w:val="00355742"/>
    <w:rsid w:val="003722AC"/>
    <w:rsid w:val="00373FAB"/>
    <w:rsid w:val="00387491"/>
    <w:rsid w:val="003A26D6"/>
    <w:rsid w:val="003B0808"/>
    <w:rsid w:val="003B7F7C"/>
    <w:rsid w:val="003D510E"/>
    <w:rsid w:val="003F45C1"/>
    <w:rsid w:val="004439E4"/>
    <w:rsid w:val="00443C3E"/>
    <w:rsid w:val="00444224"/>
    <w:rsid w:val="00445A23"/>
    <w:rsid w:val="00455A30"/>
    <w:rsid w:val="00483B05"/>
    <w:rsid w:val="004E28B9"/>
    <w:rsid w:val="004E50FC"/>
    <w:rsid w:val="004E5450"/>
    <w:rsid w:val="00525F13"/>
    <w:rsid w:val="00541FA6"/>
    <w:rsid w:val="00547C26"/>
    <w:rsid w:val="00550E10"/>
    <w:rsid w:val="005649AB"/>
    <w:rsid w:val="0057637A"/>
    <w:rsid w:val="00577F8A"/>
    <w:rsid w:val="0059609A"/>
    <w:rsid w:val="00597659"/>
    <w:rsid w:val="005A286F"/>
    <w:rsid w:val="005A2C30"/>
    <w:rsid w:val="005B401B"/>
    <w:rsid w:val="005D1700"/>
    <w:rsid w:val="005D5124"/>
    <w:rsid w:val="005E48A2"/>
    <w:rsid w:val="005E62BE"/>
    <w:rsid w:val="005F1F75"/>
    <w:rsid w:val="006A03DC"/>
    <w:rsid w:val="006D33AE"/>
    <w:rsid w:val="006E20E3"/>
    <w:rsid w:val="00703952"/>
    <w:rsid w:val="00711813"/>
    <w:rsid w:val="007245FE"/>
    <w:rsid w:val="00724E3C"/>
    <w:rsid w:val="00726F7E"/>
    <w:rsid w:val="00743C46"/>
    <w:rsid w:val="007536D7"/>
    <w:rsid w:val="00760B17"/>
    <w:rsid w:val="0077110E"/>
    <w:rsid w:val="0078341A"/>
    <w:rsid w:val="007C2B89"/>
    <w:rsid w:val="007C6678"/>
    <w:rsid w:val="007E37D0"/>
    <w:rsid w:val="007F0F1B"/>
    <w:rsid w:val="007F7E35"/>
    <w:rsid w:val="00827309"/>
    <w:rsid w:val="008278CC"/>
    <w:rsid w:val="0084397B"/>
    <w:rsid w:val="00844691"/>
    <w:rsid w:val="00865142"/>
    <w:rsid w:val="00885303"/>
    <w:rsid w:val="008909C9"/>
    <w:rsid w:val="008D1FAE"/>
    <w:rsid w:val="008D62CB"/>
    <w:rsid w:val="00920D52"/>
    <w:rsid w:val="00947B77"/>
    <w:rsid w:val="00963CFF"/>
    <w:rsid w:val="009672A5"/>
    <w:rsid w:val="009726C4"/>
    <w:rsid w:val="0097728F"/>
    <w:rsid w:val="00992EC4"/>
    <w:rsid w:val="009A57A4"/>
    <w:rsid w:val="009B5C4B"/>
    <w:rsid w:val="009D2294"/>
    <w:rsid w:val="009D341A"/>
    <w:rsid w:val="009D586D"/>
    <w:rsid w:val="009D7C3B"/>
    <w:rsid w:val="009E2228"/>
    <w:rsid w:val="009E527D"/>
    <w:rsid w:val="009F06D6"/>
    <w:rsid w:val="009F5847"/>
    <w:rsid w:val="009F5FC0"/>
    <w:rsid w:val="00A020FE"/>
    <w:rsid w:val="00A02EBA"/>
    <w:rsid w:val="00A12D0A"/>
    <w:rsid w:val="00A13EF8"/>
    <w:rsid w:val="00A266B4"/>
    <w:rsid w:val="00A31861"/>
    <w:rsid w:val="00A54913"/>
    <w:rsid w:val="00A55275"/>
    <w:rsid w:val="00A71DEF"/>
    <w:rsid w:val="00A774AE"/>
    <w:rsid w:val="00A85124"/>
    <w:rsid w:val="00AB6722"/>
    <w:rsid w:val="00AD3081"/>
    <w:rsid w:val="00AE2DA6"/>
    <w:rsid w:val="00AF4A76"/>
    <w:rsid w:val="00B044F0"/>
    <w:rsid w:val="00B07311"/>
    <w:rsid w:val="00B55042"/>
    <w:rsid w:val="00B7528E"/>
    <w:rsid w:val="00B915E6"/>
    <w:rsid w:val="00BC5FCC"/>
    <w:rsid w:val="00BD20E2"/>
    <w:rsid w:val="00BD605A"/>
    <w:rsid w:val="00BE1662"/>
    <w:rsid w:val="00BF51A5"/>
    <w:rsid w:val="00BF5D2E"/>
    <w:rsid w:val="00C132EC"/>
    <w:rsid w:val="00C21F75"/>
    <w:rsid w:val="00C412D1"/>
    <w:rsid w:val="00C606A6"/>
    <w:rsid w:val="00C60A71"/>
    <w:rsid w:val="00CB374B"/>
    <w:rsid w:val="00CC4850"/>
    <w:rsid w:val="00D13C00"/>
    <w:rsid w:val="00D46E16"/>
    <w:rsid w:val="00D55F3B"/>
    <w:rsid w:val="00D70A7C"/>
    <w:rsid w:val="00D761AC"/>
    <w:rsid w:val="00D8327E"/>
    <w:rsid w:val="00D832B4"/>
    <w:rsid w:val="00D83900"/>
    <w:rsid w:val="00D86B9C"/>
    <w:rsid w:val="00D91D26"/>
    <w:rsid w:val="00DA2731"/>
    <w:rsid w:val="00DC135F"/>
    <w:rsid w:val="00DF032A"/>
    <w:rsid w:val="00DF420B"/>
    <w:rsid w:val="00E22C47"/>
    <w:rsid w:val="00E43C9A"/>
    <w:rsid w:val="00E5597C"/>
    <w:rsid w:val="00E94013"/>
    <w:rsid w:val="00EF12F3"/>
    <w:rsid w:val="00EF583D"/>
    <w:rsid w:val="00F25283"/>
    <w:rsid w:val="00F56DF9"/>
    <w:rsid w:val="00F70295"/>
    <w:rsid w:val="00F90F73"/>
    <w:rsid w:val="00F97620"/>
    <w:rsid w:val="00FC5B22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0672A"/>
  <w15:chartTrackingRefBased/>
  <w15:docId w15:val="{4E9569A0-D20E-4018-BC27-F0AC457A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443C3E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443C3E"/>
    <w:rPr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443C3E"/>
    <w:pPr>
      <w:jc w:val="both"/>
    </w:pPr>
    <w:rPr>
      <w:noProof/>
    </w:rPr>
  </w:style>
  <w:style w:type="character" w:customStyle="1" w:styleId="EndNoteBibliographyChar">
    <w:name w:val="EndNote Bibliography Char"/>
    <w:link w:val="EndNoteBibliography"/>
    <w:rsid w:val="00443C3E"/>
    <w:rPr>
      <w:noProof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C5060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1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F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F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FA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1DD05-4543-439E-ABCF-F1CBC6E932AD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Azizah Vonna</cp:lastModifiedBy>
  <cp:revision>87</cp:revision>
  <cp:lastPrinted>2024-09-05T03:59:00Z</cp:lastPrinted>
  <dcterms:created xsi:type="dcterms:W3CDTF">2024-09-05T01:23:00Z</dcterms:created>
  <dcterms:modified xsi:type="dcterms:W3CDTF">2024-09-05T09:28:00Z</dcterms:modified>
</cp:coreProperties>
</file>