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15F04" w14:textId="77777777" w:rsidR="00AB08D7" w:rsidRPr="00AB08D7" w:rsidRDefault="00AB08D7" w:rsidP="00AB08D7">
      <w:pPr>
        <w:spacing w:line="360" w:lineRule="auto"/>
        <w:jc w:val="both"/>
        <w:rPr>
          <w:rFonts w:ascii="Calibri" w:hAnsi="Calibri" w:cs="Calibri"/>
          <w:b/>
          <w:bCs/>
          <w:color w:val="auto"/>
          <w:sz w:val="20"/>
          <w:szCs w:val="20"/>
        </w:rPr>
      </w:pPr>
      <w:r w:rsidRPr="00AB08D7">
        <w:rPr>
          <w:rFonts w:ascii="Calibri" w:hAnsi="Calibri" w:cs="Calibri"/>
          <w:b/>
          <w:bCs/>
          <w:color w:val="auto"/>
          <w:sz w:val="20"/>
          <w:szCs w:val="20"/>
        </w:rPr>
        <w:t>METABOLIC EFFECTS OF DOLUTEGRAVIR AMONG BALCK AFRICAN POPULATION</w:t>
      </w:r>
    </w:p>
    <w:p w14:paraId="3FCBE23D" w14:textId="1E7F21B5" w:rsidR="00AB08D7" w:rsidRPr="00AB08D7" w:rsidRDefault="00AB08D7" w:rsidP="00AB08D7">
      <w:pPr>
        <w:spacing w:line="360" w:lineRule="auto"/>
        <w:jc w:val="both"/>
        <w:rPr>
          <w:rFonts w:ascii="Calibri" w:hAnsi="Calibri" w:cs="Calibri"/>
          <w:b/>
          <w:bCs/>
          <w:color w:val="auto"/>
          <w:sz w:val="20"/>
          <w:szCs w:val="20"/>
        </w:rPr>
      </w:pPr>
      <w:r w:rsidRPr="00AB08D7">
        <w:rPr>
          <w:rFonts w:ascii="Calibri" w:hAnsi="Calibri" w:cs="Calibri"/>
          <w:b/>
          <w:bCs/>
          <w:color w:val="auto"/>
          <w:sz w:val="20"/>
          <w:szCs w:val="20"/>
        </w:rPr>
        <w:t>Mansur A Ramalan</w:t>
      </w:r>
      <w:r w:rsidRPr="00AB08D7">
        <w:rPr>
          <w:rFonts w:ascii="Calibri" w:hAnsi="Calibri" w:cs="Calibri"/>
          <w:b/>
          <w:bCs/>
          <w:color w:val="auto"/>
          <w:sz w:val="20"/>
          <w:szCs w:val="20"/>
          <w:vertAlign w:val="superscript"/>
        </w:rPr>
        <w:t xml:space="preserve">1,2 </w:t>
      </w:r>
      <w:r w:rsidRPr="00AB08D7">
        <w:rPr>
          <w:rFonts w:ascii="Calibri" w:hAnsi="Calibri" w:cs="Calibri"/>
          <w:b/>
          <w:bCs/>
          <w:color w:val="auto"/>
          <w:sz w:val="20"/>
          <w:szCs w:val="20"/>
        </w:rPr>
        <w:t>and Andrew E Uloko</w:t>
      </w:r>
      <w:r w:rsidRPr="00AB08D7">
        <w:rPr>
          <w:rFonts w:ascii="Calibri" w:hAnsi="Calibri" w:cs="Calibri"/>
          <w:b/>
          <w:bCs/>
          <w:color w:val="auto"/>
          <w:sz w:val="20"/>
          <w:szCs w:val="20"/>
          <w:vertAlign w:val="superscript"/>
        </w:rPr>
        <w:t>1,2</w:t>
      </w:r>
    </w:p>
    <w:p w14:paraId="0E1074F5" w14:textId="4EDC2FCB" w:rsidR="00AB08D7" w:rsidRDefault="00AB08D7" w:rsidP="00AB08D7">
      <w:pPr>
        <w:spacing w:line="360" w:lineRule="auto"/>
        <w:jc w:val="both"/>
        <w:rPr>
          <w:rFonts w:ascii="Calibri" w:hAnsi="Calibri" w:cs="Calibri"/>
          <w:b/>
          <w:bCs/>
          <w:color w:val="auto"/>
          <w:sz w:val="20"/>
          <w:szCs w:val="20"/>
        </w:rPr>
      </w:pPr>
      <w:r>
        <w:rPr>
          <w:rFonts w:ascii="Calibri" w:hAnsi="Calibri" w:cs="Calibri"/>
          <w:b/>
          <w:bCs/>
          <w:color w:val="auto"/>
          <w:sz w:val="20"/>
          <w:szCs w:val="20"/>
        </w:rPr>
        <w:t>1 Department of Internal Medicine, Aminu Kano Teaching Hospital, Kano</w:t>
      </w:r>
    </w:p>
    <w:p w14:paraId="47F80947" w14:textId="7222F359" w:rsidR="00AB08D7" w:rsidRDefault="00AB08D7" w:rsidP="00AB08D7">
      <w:pPr>
        <w:spacing w:line="360" w:lineRule="auto"/>
        <w:jc w:val="both"/>
        <w:rPr>
          <w:rFonts w:ascii="Calibri" w:hAnsi="Calibri" w:cs="Calibri"/>
          <w:b/>
          <w:bCs/>
          <w:color w:val="auto"/>
          <w:sz w:val="20"/>
          <w:szCs w:val="20"/>
        </w:rPr>
      </w:pPr>
      <w:r>
        <w:rPr>
          <w:rFonts w:ascii="Calibri" w:hAnsi="Calibri" w:cs="Calibri"/>
          <w:b/>
          <w:bCs/>
          <w:color w:val="auto"/>
          <w:sz w:val="20"/>
          <w:szCs w:val="20"/>
        </w:rPr>
        <w:t xml:space="preserve">2 </w:t>
      </w:r>
      <w:proofErr w:type="spellStart"/>
      <w:r>
        <w:rPr>
          <w:rFonts w:ascii="Calibri" w:hAnsi="Calibri" w:cs="Calibri"/>
          <w:b/>
          <w:bCs/>
          <w:color w:val="auto"/>
          <w:sz w:val="20"/>
          <w:szCs w:val="20"/>
        </w:rPr>
        <w:t>Bayero</w:t>
      </w:r>
      <w:proofErr w:type="spellEnd"/>
      <w:r>
        <w:rPr>
          <w:rFonts w:ascii="Calibri" w:hAnsi="Calibri" w:cs="Calibri"/>
          <w:b/>
          <w:bCs/>
          <w:color w:val="auto"/>
          <w:sz w:val="20"/>
          <w:szCs w:val="20"/>
        </w:rPr>
        <w:t xml:space="preserve"> </w:t>
      </w:r>
      <w:proofErr w:type="spellStart"/>
      <w:r>
        <w:rPr>
          <w:rFonts w:ascii="Calibri" w:hAnsi="Calibri" w:cs="Calibri"/>
          <w:b/>
          <w:bCs/>
          <w:color w:val="auto"/>
          <w:sz w:val="20"/>
          <w:szCs w:val="20"/>
        </w:rPr>
        <w:t>Univeristy</w:t>
      </w:r>
      <w:proofErr w:type="spellEnd"/>
      <w:r>
        <w:rPr>
          <w:rFonts w:ascii="Calibri" w:hAnsi="Calibri" w:cs="Calibri"/>
          <w:b/>
          <w:bCs/>
          <w:color w:val="auto"/>
          <w:sz w:val="20"/>
          <w:szCs w:val="20"/>
        </w:rPr>
        <w:t>, Kano</w:t>
      </w:r>
    </w:p>
    <w:p w14:paraId="4D1366E7" w14:textId="78AC88FE" w:rsidR="00AB08D7" w:rsidRPr="00AB08D7" w:rsidRDefault="00AB08D7" w:rsidP="00AB08D7">
      <w:pPr>
        <w:spacing w:line="360" w:lineRule="auto"/>
        <w:jc w:val="both"/>
        <w:rPr>
          <w:rFonts w:ascii="Calibri" w:hAnsi="Calibri" w:cs="Calibri"/>
          <w:b/>
          <w:bCs/>
          <w:color w:val="auto"/>
          <w:sz w:val="20"/>
          <w:szCs w:val="20"/>
        </w:rPr>
      </w:pPr>
      <w:r w:rsidRPr="00AB08D7">
        <w:rPr>
          <w:rFonts w:ascii="Calibri" w:hAnsi="Calibri" w:cs="Calibri"/>
          <w:b/>
          <w:bCs/>
          <w:color w:val="auto"/>
          <w:sz w:val="20"/>
          <w:szCs w:val="20"/>
        </w:rPr>
        <w:t>Background</w:t>
      </w:r>
    </w:p>
    <w:p w14:paraId="7C5F8E72" w14:textId="702DDD68" w:rsidR="00AB08D7" w:rsidRPr="00AB08D7" w:rsidRDefault="00AB08D7" w:rsidP="00AB08D7">
      <w:pPr>
        <w:shd w:val="clear" w:color="auto" w:fill="FFFFFF"/>
        <w:spacing w:line="360" w:lineRule="auto"/>
        <w:jc w:val="both"/>
        <w:rPr>
          <w:rFonts w:ascii="Calibri" w:hAnsi="Calibri" w:cs="Calibri"/>
          <w:color w:val="auto"/>
          <w:sz w:val="20"/>
          <w:szCs w:val="20"/>
          <w:shd w:val="clear" w:color="auto" w:fill="FFFFFF"/>
        </w:rPr>
      </w:pPr>
      <w:r w:rsidRPr="00AB08D7">
        <w:rPr>
          <w:rFonts w:ascii="Calibri" w:hAnsi="Calibri" w:cs="Calibri"/>
          <w:color w:val="auto"/>
          <w:sz w:val="20"/>
          <w:szCs w:val="20"/>
          <w:shd w:val="clear" w:color="auto" w:fill="FFFFFF"/>
        </w:rPr>
        <w:t xml:space="preserve">Dolutegravir has become a major component of recent clinical guidelines for antiretroviral therapy. However, it is associated with some adverse metabolic complications in numerous case reports and clinical trials. These effects have </w:t>
      </w:r>
      <w:r w:rsidRPr="00AB08D7">
        <w:rPr>
          <w:rFonts w:ascii="Calibri" w:hAnsi="Calibri" w:cs="Calibri"/>
          <w:color w:val="auto"/>
          <w:sz w:val="20"/>
          <w:szCs w:val="20"/>
        </w:rPr>
        <w:t xml:space="preserve">not been adequately evaluated in Nigeria, hence the need for this study.    </w:t>
      </w:r>
    </w:p>
    <w:p w14:paraId="78E8A625" w14:textId="77777777" w:rsidR="00AB08D7" w:rsidRPr="00AB08D7" w:rsidRDefault="00AB08D7" w:rsidP="00AB08D7">
      <w:pPr>
        <w:spacing w:line="360" w:lineRule="auto"/>
        <w:jc w:val="both"/>
        <w:rPr>
          <w:rFonts w:ascii="Calibri" w:hAnsi="Calibri" w:cs="Calibri"/>
          <w:b/>
          <w:bCs/>
          <w:color w:val="auto"/>
          <w:sz w:val="20"/>
          <w:szCs w:val="20"/>
        </w:rPr>
      </w:pPr>
      <w:r w:rsidRPr="00AB08D7">
        <w:rPr>
          <w:rFonts w:ascii="Calibri" w:hAnsi="Calibri" w:cs="Calibri"/>
          <w:b/>
          <w:bCs/>
          <w:color w:val="auto"/>
          <w:sz w:val="20"/>
          <w:szCs w:val="20"/>
        </w:rPr>
        <w:t>Aim</w:t>
      </w:r>
    </w:p>
    <w:p w14:paraId="103AC7AA" w14:textId="74A29391" w:rsidR="00AB08D7" w:rsidRPr="00AB08D7" w:rsidRDefault="00AB08D7" w:rsidP="00AB08D7">
      <w:pPr>
        <w:spacing w:line="360" w:lineRule="auto"/>
        <w:jc w:val="both"/>
        <w:rPr>
          <w:rFonts w:ascii="Calibri" w:hAnsi="Calibri" w:cs="Calibri"/>
          <w:color w:val="auto"/>
          <w:sz w:val="20"/>
          <w:szCs w:val="20"/>
        </w:rPr>
      </w:pPr>
      <w:r w:rsidRPr="00AB08D7">
        <w:rPr>
          <w:rFonts w:ascii="Calibri" w:hAnsi="Calibri" w:cs="Calibri"/>
          <w:color w:val="auto"/>
          <w:sz w:val="20"/>
          <w:szCs w:val="20"/>
        </w:rPr>
        <w:t>This study aimed to determine the prevalence, incidence, and risk factors of metabolic complications among HIV-infected participants receiving Dolutegravir-based antiretroviral therapy.</w:t>
      </w:r>
    </w:p>
    <w:p w14:paraId="3A0A7FBA" w14:textId="77777777" w:rsidR="00AB08D7" w:rsidRPr="00AB08D7" w:rsidRDefault="00AB08D7" w:rsidP="00AB08D7">
      <w:pPr>
        <w:spacing w:line="360" w:lineRule="auto"/>
        <w:jc w:val="both"/>
        <w:rPr>
          <w:rFonts w:ascii="Calibri" w:hAnsi="Calibri" w:cs="Calibri"/>
          <w:b/>
          <w:bCs/>
          <w:color w:val="auto"/>
          <w:sz w:val="20"/>
          <w:szCs w:val="20"/>
        </w:rPr>
      </w:pPr>
      <w:r w:rsidRPr="00AB08D7">
        <w:rPr>
          <w:rFonts w:ascii="Calibri" w:hAnsi="Calibri" w:cs="Calibri"/>
          <w:b/>
          <w:bCs/>
          <w:color w:val="auto"/>
          <w:sz w:val="20"/>
          <w:szCs w:val="20"/>
        </w:rPr>
        <w:t>Method</w:t>
      </w:r>
    </w:p>
    <w:p w14:paraId="3FD2DA89" w14:textId="295E4C5A" w:rsidR="00AB08D7" w:rsidRPr="00AB08D7" w:rsidRDefault="00AB08D7" w:rsidP="00AB08D7">
      <w:pPr>
        <w:shd w:val="clear" w:color="auto" w:fill="FFFFFF"/>
        <w:spacing w:line="360" w:lineRule="auto"/>
        <w:jc w:val="both"/>
        <w:rPr>
          <w:rFonts w:ascii="Calibri" w:hAnsi="Calibri" w:cs="Calibri"/>
          <w:color w:val="auto"/>
          <w:sz w:val="20"/>
          <w:szCs w:val="20"/>
        </w:rPr>
      </w:pPr>
      <w:r w:rsidRPr="00AB08D7">
        <w:rPr>
          <w:rFonts w:ascii="Calibri" w:hAnsi="Calibri" w:cs="Calibri"/>
          <w:color w:val="auto"/>
          <w:sz w:val="20"/>
          <w:szCs w:val="20"/>
        </w:rPr>
        <w:t>This study was a cross-sectional comparative study in which 233 HIV positive participants were recruited and randomized into two study groups: Group 1, consisting of 118 participants, randomized to a Dolutegravir-based combination antiretroviral therapy (</w:t>
      </w:r>
      <w:proofErr w:type="spellStart"/>
      <w:r w:rsidRPr="00AB08D7">
        <w:rPr>
          <w:rFonts w:ascii="Calibri" w:hAnsi="Calibri" w:cs="Calibri"/>
          <w:color w:val="auto"/>
          <w:sz w:val="20"/>
          <w:szCs w:val="20"/>
        </w:rPr>
        <w:t>cART</w:t>
      </w:r>
      <w:proofErr w:type="spellEnd"/>
      <w:r w:rsidRPr="00AB08D7">
        <w:rPr>
          <w:rFonts w:ascii="Calibri" w:hAnsi="Calibri" w:cs="Calibri"/>
          <w:color w:val="auto"/>
          <w:sz w:val="20"/>
          <w:szCs w:val="20"/>
        </w:rPr>
        <w:t xml:space="preserve">) regimen; Group 2, consisting of 115 participants, was randomized to a non-Dolutegravir-based treatment regimen. The two groups received treatment with </w:t>
      </w:r>
      <w:proofErr w:type="spellStart"/>
      <w:r w:rsidRPr="00AB08D7">
        <w:rPr>
          <w:rFonts w:ascii="Calibri" w:hAnsi="Calibri" w:cs="Calibri"/>
          <w:color w:val="auto"/>
          <w:sz w:val="20"/>
          <w:szCs w:val="20"/>
        </w:rPr>
        <w:t>cART</w:t>
      </w:r>
      <w:proofErr w:type="spellEnd"/>
      <w:r w:rsidRPr="00AB08D7">
        <w:rPr>
          <w:rFonts w:ascii="Calibri" w:hAnsi="Calibri" w:cs="Calibri"/>
          <w:color w:val="auto"/>
          <w:sz w:val="20"/>
          <w:szCs w:val="20"/>
        </w:rPr>
        <w:t xml:space="preserve"> for 6 months. </w:t>
      </w:r>
    </w:p>
    <w:p w14:paraId="17169D0D" w14:textId="5BE39C51" w:rsidR="00AB08D7" w:rsidRPr="00AB08D7" w:rsidRDefault="00AB08D7" w:rsidP="00AB08D7">
      <w:pPr>
        <w:shd w:val="clear" w:color="auto" w:fill="FFFFFF"/>
        <w:spacing w:line="360" w:lineRule="auto"/>
        <w:jc w:val="both"/>
        <w:rPr>
          <w:rFonts w:ascii="Calibri" w:hAnsi="Calibri" w:cs="Calibri"/>
          <w:color w:val="auto"/>
          <w:sz w:val="20"/>
          <w:szCs w:val="20"/>
        </w:rPr>
      </w:pPr>
      <w:r w:rsidRPr="00AB08D7">
        <w:rPr>
          <w:rFonts w:ascii="Calibri" w:hAnsi="Calibri" w:cs="Calibri"/>
          <w:color w:val="auto"/>
          <w:sz w:val="20"/>
          <w:szCs w:val="20"/>
        </w:rPr>
        <w:t>All the participants had the same set of biochemical investigations (75g oral glucose tolerance test (OGTT), fasting serum lipid profile, and fasting plasma insulin). They were also subjected to physical measurements including weight, height, body mass index, waist, hip, and neck circumferences, skin fold thickness, ultrasound measurements of body fats, and blood pressure both at baseline and after 6 months of treatment.</w:t>
      </w:r>
    </w:p>
    <w:p w14:paraId="5993C90C" w14:textId="48BB40F3" w:rsidR="00AB08D7" w:rsidRPr="00AB08D7" w:rsidRDefault="00AB08D7" w:rsidP="00AB08D7">
      <w:pPr>
        <w:shd w:val="clear" w:color="auto" w:fill="FFFFFF"/>
        <w:spacing w:line="360" w:lineRule="auto"/>
        <w:jc w:val="both"/>
        <w:rPr>
          <w:rFonts w:ascii="Calibri" w:hAnsi="Calibri" w:cs="Calibri"/>
          <w:color w:val="auto"/>
          <w:sz w:val="20"/>
          <w:szCs w:val="20"/>
        </w:rPr>
      </w:pPr>
      <w:r w:rsidRPr="00AB08D7">
        <w:rPr>
          <w:rFonts w:ascii="Calibri" w:hAnsi="Calibri" w:cs="Calibri"/>
          <w:b/>
          <w:bCs/>
          <w:color w:val="auto"/>
          <w:sz w:val="20"/>
          <w:szCs w:val="20"/>
        </w:rPr>
        <w:t>Results</w:t>
      </w:r>
      <w:r w:rsidRPr="00AB08D7">
        <w:rPr>
          <w:rFonts w:ascii="Calibri" w:hAnsi="Calibri" w:cs="Calibri"/>
          <w:b/>
          <w:bCs/>
          <w:color w:val="auto"/>
          <w:sz w:val="20"/>
          <w:szCs w:val="20"/>
        </w:rPr>
        <w:br/>
      </w:r>
      <w:r w:rsidRPr="00AB08D7">
        <w:rPr>
          <w:rFonts w:ascii="Calibri" w:hAnsi="Calibri" w:cs="Calibri"/>
          <w:color w:val="auto"/>
          <w:sz w:val="20"/>
          <w:szCs w:val="20"/>
        </w:rPr>
        <w:t xml:space="preserve">A total of 240 participants were recruited for the study, out of which 233 completed the study. The mean age of the study participants was 36.19 </w:t>
      </w:r>
      <w:r w:rsidRPr="00AB08D7">
        <w:rPr>
          <w:rFonts w:ascii="Calibri" w:hAnsi="Calibri" w:cs="Calibri"/>
          <w:color w:val="auto"/>
          <w:sz w:val="20"/>
          <w:szCs w:val="20"/>
          <w:u w:val="single"/>
        </w:rPr>
        <w:t>+</w:t>
      </w:r>
      <w:r w:rsidRPr="00AB08D7">
        <w:rPr>
          <w:rFonts w:ascii="Calibri" w:hAnsi="Calibri" w:cs="Calibri"/>
          <w:color w:val="auto"/>
          <w:sz w:val="20"/>
          <w:szCs w:val="20"/>
        </w:rPr>
        <w:t xml:space="preserve"> 6.63 years in the Dolutegravir group, 35.38</w:t>
      </w:r>
      <w:r w:rsidRPr="00AB08D7">
        <w:rPr>
          <w:rFonts w:ascii="Calibri" w:hAnsi="Calibri" w:cs="Calibri"/>
          <w:color w:val="auto"/>
          <w:sz w:val="20"/>
          <w:szCs w:val="20"/>
          <w:u w:val="single"/>
        </w:rPr>
        <w:t>+</w:t>
      </w:r>
      <w:r w:rsidRPr="00AB08D7">
        <w:rPr>
          <w:rFonts w:ascii="Calibri" w:hAnsi="Calibri" w:cs="Calibri"/>
          <w:color w:val="auto"/>
          <w:sz w:val="20"/>
          <w:szCs w:val="20"/>
        </w:rPr>
        <w:t xml:space="preserve"> 4.12 in the non-Dolutegravir group </w:t>
      </w:r>
    </w:p>
    <w:p w14:paraId="1594BC96" w14:textId="6EC1B754" w:rsidR="00AB08D7" w:rsidRPr="00AB08D7" w:rsidRDefault="00AB08D7" w:rsidP="00AB08D7">
      <w:pPr>
        <w:shd w:val="clear" w:color="auto" w:fill="FFFFFF"/>
        <w:spacing w:line="360" w:lineRule="auto"/>
        <w:jc w:val="both"/>
        <w:rPr>
          <w:rFonts w:ascii="Calibri" w:hAnsi="Calibri" w:cs="Calibri"/>
          <w:color w:val="auto"/>
          <w:sz w:val="20"/>
          <w:szCs w:val="20"/>
        </w:rPr>
      </w:pPr>
      <w:r w:rsidRPr="00AB08D7">
        <w:rPr>
          <w:rFonts w:ascii="Calibri" w:hAnsi="Calibri" w:cs="Calibri"/>
          <w:color w:val="auto"/>
          <w:sz w:val="20"/>
          <w:szCs w:val="20"/>
        </w:rPr>
        <w:t xml:space="preserve">There were more females than males in the study population (53.39% in the Dolutegravir group and 55.65% in the non-Dolutegravir group). </w:t>
      </w:r>
    </w:p>
    <w:p w14:paraId="06137733" w14:textId="50DC6EFA" w:rsidR="00AB08D7" w:rsidRPr="00AB08D7" w:rsidRDefault="00AB08D7" w:rsidP="00AB08D7">
      <w:pPr>
        <w:shd w:val="clear" w:color="auto" w:fill="FFFFFF"/>
        <w:spacing w:line="360" w:lineRule="auto"/>
        <w:jc w:val="both"/>
        <w:rPr>
          <w:rFonts w:ascii="Calibri" w:hAnsi="Calibri" w:cs="Calibri"/>
          <w:color w:val="auto"/>
          <w:sz w:val="20"/>
          <w:szCs w:val="20"/>
        </w:rPr>
      </w:pPr>
      <w:r w:rsidRPr="00AB08D7">
        <w:rPr>
          <w:rFonts w:ascii="Calibri" w:hAnsi="Calibri" w:cs="Calibri"/>
          <w:color w:val="auto"/>
          <w:sz w:val="20"/>
          <w:szCs w:val="20"/>
        </w:rPr>
        <w:t xml:space="preserve">At the end of 6 months of treatment, there was a statistically significant difference in the </w:t>
      </w:r>
      <w:proofErr w:type="spellStart"/>
      <w:r w:rsidRPr="00AB08D7">
        <w:rPr>
          <w:rFonts w:ascii="Calibri" w:hAnsi="Calibri" w:cs="Calibri"/>
          <w:color w:val="auto"/>
          <w:sz w:val="20"/>
          <w:szCs w:val="20"/>
        </w:rPr>
        <w:t>mean</w:t>
      </w:r>
      <w:r w:rsidRPr="00AB08D7">
        <w:rPr>
          <w:rFonts w:ascii="Calibri" w:hAnsi="Calibri" w:cs="Calibri"/>
          <w:color w:val="auto"/>
          <w:sz w:val="20"/>
          <w:szCs w:val="20"/>
          <w:u w:val="single"/>
        </w:rPr>
        <w:t>+</w:t>
      </w:r>
      <w:r w:rsidRPr="00AB08D7">
        <w:rPr>
          <w:rFonts w:ascii="Calibri" w:hAnsi="Calibri" w:cs="Calibri"/>
          <w:color w:val="auto"/>
          <w:sz w:val="20"/>
          <w:szCs w:val="20"/>
        </w:rPr>
        <w:t>SD</w:t>
      </w:r>
      <w:proofErr w:type="spellEnd"/>
      <w:r w:rsidRPr="00AB08D7">
        <w:rPr>
          <w:rFonts w:ascii="Calibri" w:hAnsi="Calibri" w:cs="Calibri"/>
          <w:color w:val="auto"/>
          <w:sz w:val="20"/>
          <w:szCs w:val="20"/>
        </w:rPr>
        <w:t xml:space="preserve"> of the body weights of participants who are receiving treatment with Dolutegravir based regimen compared to participants who are the non-Dolutegravir based ART regimen (59.49 </w:t>
      </w:r>
      <w:r w:rsidRPr="00AB08D7">
        <w:rPr>
          <w:rFonts w:ascii="Calibri" w:hAnsi="Calibri" w:cs="Calibri"/>
          <w:color w:val="auto"/>
          <w:sz w:val="20"/>
          <w:szCs w:val="20"/>
          <w:u w:val="single"/>
        </w:rPr>
        <w:t>+</w:t>
      </w:r>
      <w:r w:rsidRPr="00AB08D7">
        <w:rPr>
          <w:rFonts w:ascii="Calibri" w:hAnsi="Calibri" w:cs="Calibri"/>
          <w:color w:val="auto"/>
          <w:sz w:val="20"/>
          <w:szCs w:val="20"/>
        </w:rPr>
        <w:t xml:space="preserve"> 18.5 vs 57.76 </w:t>
      </w:r>
      <w:r w:rsidRPr="00AB08D7">
        <w:rPr>
          <w:rFonts w:ascii="Calibri" w:hAnsi="Calibri" w:cs="Calibri"/>
          <w:color w:val="auto"/>
          <w:sz w:val="20"/>
          <w:szCs w:val="20"/>
          <w:u w:val="single"/>
        </w:rPr>
        <w:t>+</w:t>
      </w:r>
      <w:r w:rsidRPr="00AB08D7">
        <w:rPr>
          <w:rFonts w:ascii="Calibri" w:hAnsi="Calibri" w:cs="Calibri"/>
          <w:color w:val="auto"/>
          <w:sz w:val="20"/>
          <w:szCs w:val="20"/>
        </w:rPr>
        <w:t xml:space="preserve"> 18.5), p=0.001, body mass indices (29.23 </w:t>
      </w:r>
      <w:r w:rsidRPr="00AB08D7">
        <w:rPr>
          <w:rFonts w:ascii="Calibri" w:hAnsi="Calibri" w:cs="Calibri"/>
          <w:color w:val="auto"/>
          <w:sz w:val="20"/>
          <w:szCs w:val="20"/>
          <w:u w:val="single"/>
        </w:rPr>
        <w:t>+</w:t>
      </w:r>
      <w:r w:rsidRPr="00AB08D7">
        <w:rPr>
          <w:rFonts w:ascii="Calibri" w:hAnsi="Calibri" w:cs="Calibri"/>
          <w:color w:val="auto"/>
          <w:sz w:val="20"/>
          <w:szCs w:val="20"/>
        </w:rPr>
        <w:t xml:space="preserve"> 7.36 vs 27.89 </w:t>
      </w:r>
      <w:r w:rsidRPr="00AB08D7">
        <w:rPr>
          <w:rFonts w:ascii="Calibri" w:hAnsi="Calibri" w:cs="Calibri"/>
          <w:color w:val="auto"/>
          <w:sz w:val="20"/>
          <w:szCs w:val="20"/>
          <w:u w:val="single"/>
        </w:rPr>
        <w:t>+</w:t>
      </w:r>
      <w:r w:rsidRPr="00AB08D7">
        <w:rPr>
          <w:rFonts w:ascii="Calibri" w:hAnsi="Calibri" w:cs="Calibri"/>
          <w:color w:val="auto"/>
          <w:sz w:val="20"/>
          <w:szCs w:val="20"/>
        </w:rPr>
        <w:t xml:space="preserve"> 6.63), p=0.031, hip circumference (57.76 </w:t>
      </w:r>
      <w:r w:rsidRPr="00AB08D7">
        <w:rPr>
          <w:rFonts w:ascii="Calibri" w:hAnsi="Calibri" w:cs="Calibri"/>
          <w:color w:val="auto"/>
          <w:sz w:val="20"/>
          <w:szCs w:val="20"/>
          <w:u w:val="single"/>
        </w:rPr>
        <w:t>+</w:t>
      </w:r>
      <w:r w:rsidRPr="00AB08D7">
        <w:rPr>
          <w:rFonts w:ascii="Calibri" w:hAnsi="Calibri" w:cs="Calibri"/>
          <w:color w:val="auto"/>
          <w:sz w:val="20"/>
          <w:szCs w:val="20"/>
        </w:rPr>
        <w:t xml:space="preserve"> 18.5 vs 91.53 </w:t>
      </w:r>
      <w:r w:rsidRPr="00AB08D7">
        <w:rPr>
          <w:rFonts w:ascii="Calibri" w:hAnsi="Calibri" w:cs="Calibri"/>
          <w:color w:val="auto"/>
          <w:sz w:val="20"/>
          <w:szCs w:val="20"/>
          <w:u w:val="single"/>
        </w:rPr>
        <w:t>+</w:t>
      </w:r>
      <w:r w:rsidRPr="00AB08D7">
        <w:rPr>
          <w:rFonts w:ascii="Calibri" w:hAnsi="Calibri" w:cs="Calibri"/>
          <w:color w:val="auto"/>
          <w:sz w:val="20"/>
          <w:szCs w:val="20"/>
        </w:rPr>
        <w:t xml:space="preserve"> 16.70), p &lt;0.0001, skin fold thickness; triceps (26.37</w:t>
      </w:r>
      <w:r w:rsidRPr="00AB08D7">
        <w:rPr>
          <w:rFonts w:ascii="Calibri" w:hAnsi="Calibri" w:cs="Calibri"/>
          <w:color w:val="auto"/>
          <w:sz w:val="20"/>
          <w:szCs w:val="20"/>
          <w:u w:val="single"/>
        </w:rPr>
        <w:t>+</w:t>
      </w:r>
      <w:r w:rsidRPr="00AB08D7">
        <w:rPr>
          <w:rFonts w:ascii="Calibri" w:hAnsi="Calibri" w:cs="Calibri"/>
          <w:color w:val="auto"/>
          <w:sz w:val="20"/>
          <w:szCs w:val="20"/>
        </w:rPr>
        <w:t xml:space="preserve"> 13.37 vs 24.16</w:t>
      </w:r>
      <w:r w:rsidRPr="00AB08D7">
        <w:rPr>
          <w:rFonts w:ascii="Calibri" w:hAnsi="Calibri" w:cs="Calibri"/>
          <w:color w:val="auto"/>
          <w:sz w:val="20"/>
          <w:szCs w:val="20"/>
          <w:u w:val="single"/>
        </w:rPr>
        <w:t>+</w:t>
      </w:r>
      <w:r w:rsidRPr="00AB08D7">
        <w:rPr>
          <w:rFonts w:ascii="Calibri" w:hAnsi="Calibri" w:cs="Calibri"/>
          <w:color w:val="auto"/>
          <w:sz w:val="20"/>
          <w:szCs w:val="20"/>
        </w:rPr>
        <w:t xml:space="preserve"> 13.22) p=0.001, subscapular, (29.52</w:t>
      </w:r>
      <w:r w:rsidRPr="00AB08D7">
        <w:rPr>
          <w:rFonts w:ascii="Calibri" w:hAnsi="Calibri" w:cs="Calibri"/>
          <w:color w:val="auto"/>
          <w:sz w:val="20"/>
          <w:szCs w:val="20"/>
          <w:u w:val="single"/>
        </w:rPr>
        <w:t>+</w:t>
      </w:r>
      <w:r w:rsidRPr="00AB08D7">
        <w:rPr>
          <w:rFonts w:ascii="Calibri" w:hAnsi="Calibri" w:cs="Calibri"/>
          <w:color w:val="auto"/>
          <w:sz w:val="20"/>
          <w:szCs w:val="20"/>
        </w:rPr>
        <w:t xml:space="preserve"> 12.18 vs 25.83</w:t>
      </w:r>
      <w:r w:rsidRPr="00AB08D7">
        <w:rPr>
          <w:rFonts w:ascii="Calibri" w:hAnsi="Calibri" w:cs="Calibri"/>
          <w:color w:val="auto"/>
          <w:sz w:val="20"/>
          <w:szCs w:val="20"/>
          <w:u w:val="single"/>
        </w:rPr>
        <w:t>+</w:t>
      </w:r>
      <w:r w:rsidRPr="00AB08D7">
        <w:rPr>
          <w:rFonts w:ascii="Calibri" w:hAnsi="Calibri" w:cs="Calibri"/>
          <w:color w:val="auto"/>
          <w:sz w:val="20"/>
          <w:szCs w:val="20"/>
        </w:rPr>
        <w:t xml:space="preserve"> 8.09) p=0.003, abdominal, (29.92</w:t>
      </w:r>
      <w:r w:rsidRPr="00AB08D7">
        <w:rPr>
          <w:rFonts w:ascii="Calibri" w:hAnsi="Calibri" w:cs="Calibri"/>
          <w:color w:val="auto"/>
          <w:sz w:val="20"/>
          <w:szCs w:val="20"/>
          <w:u w:val="single"/>
        </w:rPr>
        <w:t>+</w:t>
      </w:r>
      <w:r w:rsidRPr="00AB08D7">
        <w:rPr>
          <w:rFonts w:ascii="Calibri" w:hAnsi="Calibri" w:cs="Calibri"/>
          <w:color w:val="auto"/>
          <w:sz w:val="20"/>
          <w:szCs w:val="20"/>
        </w:rPr>
        <w:t xml:space="preserve"> 14.26 vs 27.63</w:t>
      </w:r>
      <w:r w:rsidRPr="00AB08D7">
        <w:rPr>
          <w:rFonts w:ascii="Calibri" w:hAnsi="Calibri" w:cs="Calibri"/>
          <w:color w:val="auto"/>
          <w:sz w:val="20"/>
          <w:szCs w:val="20"/>
          <w:u w:val="single"/>
        </w:rPr>
        <w:t>+</w:t>
      </w:r>
      <w:r w:rsidRPr="00AB08D7">
        <w:rPr>
          <w:rFonts w:ascii="Calibri" w:hAnsi="Calibri" w:cs="Calibri"/>
          <w:color w:val="auto"/>
          <w:sz w:val="20"/>
          <w:szCs w:val="20"/>
        </w:rPr>
        <w:t xml:space="preserve"> 10.01) p=0.001, and mid-thigh, (38.71</w:t>
      </w:r>
      <w:r w:rsidRPr="00AB08D7">
        <w:rPr>
          <w:rFonts w:ascii="Calibri" w:hAnsi="Calibri" w:cs="Calibri"/>
          <w:color w:val="auto"/>
          <w:sz w:val="20"/>
          <w:szCs w:val="20"/>
          <w:u w:val="single"/>
        </w:rPr>
        <w:t>+</w:t>
      </w:r>
      <w:r w:rsidRPr="00AB08D7">
        <w:rPr>
          <w:rFonts w:ascii="Calibri" w:hAnsi="Calibri" w:cs="Calibri"/>
          <w:color w:val="auto"/>
          <w:sz w:val="20"/>
          <w:szCs w:val="20"/>
        </w:rPr>
        <w:t xml:space="preserve"> 15.95 vs 34.32</w:t>
      </w:r>
      <w:r w:rsidRPr="00AB08D7">
        <w:rPr>
          <w:rFonts w:ascii="Calibri" w:hAnsi="Calibri" w:cs="Calibri"/>
          <w:color w:val="auto"/>
          <w:sz w:val="20"/>
          <w:szCs w:val="20"/>
          <w:u w:val="single"/>
        </w:rPr>
        <w:t>+</w:t>
      </w:r>
      <w:r w:rsidRPr="00AB08D7">
        <w:rPr>
          <w:rFonts w:ascii="Calibri" w:hAnsi="Calibri" w:cs="Calibri"/>
          <w:color w:val="auto"/>
          <w:sz w:val="20"/>
          <w:szCs w:val="20"/>
        </w:rPr>
        <w:t xml:space="preserve"> 9.30) p=0.014. It was also observed that the mean waist-to-hip ratios (WHR) in males were statistically significantly higher in the DTG group compared to the non-DTG group (92.66</w:t>
      </w:r>
      <w:r w:rsidRPr="00AB08D7">
        <w:rPr>
          <w:rFonts w:ascii="Calibri" w:hAnsi="Calibri" w:cs="Calibri"/>
          <w:color w:val="auto"/>
          <w:sz w:val="20"/>
          <w:szCs w:val="20"/>
          <w:u w:val="single"/>
        </w:rPr>
        <w:t>+</w:t>
      </w:r>
      <w:r w:rsidRPr="00AB08D7">
        <w:rPr>
          <w:rFonts w:ascii="Calibri" w:hAnsi="Calibri" w:cs="Calibri"/>
          <w:color w:val="auto"/>
          <w:sz w:val="20"/>
          <w:szCs w:val="20"/>
        </w:rPr>
        <w:t xml:space="preserve"> 15.77 vs 90.08</w:t>
      </w:r>
      <w:r w:rsidRPr="00AB08D7">
        <w:rPr>
          <w:rFonts w:ascii="Calibri" w:hAnsi="Calibri" w:cs="Calibri"/>
          <w:color w:val="auto"/>
          <w:sz w:val="20"/>
          <w:szCs w:val="20"/>
          <w:u w:val="single"/>
        </w:rPr>
        <w:t>+</w:t>
      </w:r>
      <w:r w:rsidRPr="00AB08D7">
        <w:rPr>
          <w:rFonts w:ascii="Calibri" w:hAnsi="Calibri" w:cs="Calibri"/>
          <w:color w:val="auto"/>
          <w:sz w:val="20"/>
          <w:szCs w:val="20"/>
        </w:rPr>
        <w:t xml:space="preserve"> 15.22), p=0.031.</w:t>
      </w:r>
    </w:p>
    <w:p w14:paraId="33D0958D" w14:textId="5E06D907" w:rsidR="00AB08D7" w:rsidRPr="00AB08D7" w:rsidRDefault="00AB08D7" w:rsidP="00AB08D7">
      <w:pPr>
        <w:shd w:val="clear" w:color="auto" w:fill="FFFFFF"/>
        <w:spacing w:line="360" w:lineRule="auto"/>
        <w:jc w:val="both"/>
        <w:rPr>
          <w:rFonts w:ascii="Calibri" w:hAnsi="Calibri" w:cs="Calibri"/>
          <w:b/>
          <w:bCs/>
          <w:color w:val="auto"/>
          <w:sz w:val="20"/>
          <w:szCs w:val="20"/>
        </w:rPr>
      </w:pPr>
      <w:r w:rsidRPr="00AB08D7">
        <w:rPr>
          <w:rFonts w:ascii="Calibri" w:hAnsi="Calibri" w:cs="Calibri"/>
          <w:color w:val="auto"/>
          <w:sz w:val="20"/>
          <w:szCs w:val="20"/>
        </w:rPr>
        <w:t>The mean visceral and subcutaneous fat thickness of the dolutegravir group was also significantly higher than the non-dolutegravir group, (7.72</w:t>
      </w:r>
      <w:r w:rsidRPr="00AB08D7">
        <w:rPr>
          <w:rFonts w:ascii="Calibri" w:hAnsi="Calibri" w:cs="Calibri"/>
          <w:color w:val="auto"/>
          <w:sz w:val="20"/>
          <w:szCs w:val="20"/>
          <w:u w:val="single"/>
        </w:rPr>
        <w:t>+</w:t>
      </w:r>
      <w:r w:rsidRPr="00AB08D7">
        <w:rPr>
          <w:rFonts w:ascii="Calibri" w:hAnsi="Calibri" w:cs="Calibri"/>
          <w:color w:val="auto"/>
          <w:sz w:val="20"/>
          <w:szCs w:val="20"/>
        </w:rPr>
        <w:t xml:space="preserve"> 1.89 vs 7.31</w:t>
      </w:r>
      <w:r w:rsidRPr="00AB08D7">
        <w:rPr>
          <w:rFonts w:ascii="Calibri" w:hAnsi="Calibri" w:cs="Calibri"/>
          <w:color w:val="auto"/>
          <w:sz w:val="20"/>
          <w:szCs w:val="20"/>
          <w:u w:val="single"/>
        </w:rPr>
        <w:t>+</w:t>
      </w:r>
      <w:r w:rsidRPr="00AB08D7">
        <w:rPr>
          <w:rFonts w:ascii="Calibri" w:hAnsi="Calibri" w:cs="Calibri"/>
          <w:color w:val="auto"/>
          <w:sz w:val="20"/>
          <w:szCs w:val="20"/>
        </w:rPr>
        <w:t xml:space="preserve"> 1.65) p=0.001 and (17.83</w:t>
      </w:r>
      <w:r w:rsidRPr="00AB08D7">
        <w:rPr>
          <w:rFonts w:ascii="Calibri" w:hAnsi="Calibri" w:cs="Calibri"/>
          <w:color w:val="auto"/>
          <w:sz w:val="20"/>
          <w:szCs w:val="20"/>
          <w:u w:val="single"/>
        </w:rPr>
        <w:t>+</w:t>
      </w:r>
      <w:r w:rsidRPr="00AB08D7">
        <w:rPr>
          <w:rFonts w:ascii="Calibri" w:hAnsi="Calibri" w:cs="Calibri"/>
          <w:color w:val="auto"/>
          <w:sz w:val="20"/>
          <w:szCs w:val="20"/>
        </w:rPr>
        <w:t xml:space="preserve"> 3.92 vs 17.09</w:t>
      </w:r>
      <w:r w:rsidRPr="00AB08D7">
        <w:rPr>
          <w:rFonts w:ascii="Calibri" w:hAnsi="Calibri" w:cs="Calibri"/>
          <w:color w:val="auto"/>
          <w:sz w:val="20"/>
          <w:szCs w:val="20"/>
          <w:u w:val="single"/>
        </w:rPr>
        <w:t>+</w:t>
      </w:r>
      <w:r w:rsidRPr="00AB08D7">
        <w:rPr>
          <w:rFonts w:ascii="Calibri" w:hAnsi="Calibri" w:cs="Calibri"/>
          <w:color w:val="auto"/>
          <w:sz w:val="20"/>
          <w:szCs w:val="20"/>
        </w:rPr>
        <w:t xml:space="preserve"> 3.32) 0.004, respectively. The </w:t>
      </w:r>
      <w:r w:rsidRPr="00AB08D7">
        <w:rPr>
          <w:rFonts w:ascii="Calibri" w:hAnsi="Calibri" w:cs="Calibri"/>
          <w:color w:val="auto"/>
          <w:sz w:val="20"/>
          <w:szCs w:val="20"/>
        </w:rPr>
        <w:lastRenderedPageBreak/>
        <w:t>drug did not produce any significant effect on lipid profile except for a reduction in the mean (IQR) total cholesterol levels, (3.68(0.58-5.97) vs 3.98(3.72-6.62)) p=0.002.</w:t>
      </w:r>
    </w:p>
    <w:p w14:paraId="64061AA3" w14:textId="77777777" w:rsidR="00AB08D7" w:rsidRPr="00AB08D7" w:rsidRDefault="00AB08D7" w:rsidP="00AB08D7">
      <w:pPr>
        <w:spacing w:line="360" w:lineRule="auto"/>
        <w:jc w:val="both"/>
        <w:rPr>
          <w:rFonts w:ascii="Calibri" w:hAnsi="Calibri" w:cs="Calibri"/>
          <w:b/>
          <w:bCs/>
          <w:color w:val="auto"/>
          <w:sz w:val="20"/>
          <w:szCs w:val="20"/>
        </w:rPr>
      </w:pPr>
      <w:r w:rsidRPr="00AB08D7">
        <w:rPr>
          <w:rFonts w:ascii="Calibri" w:hAnsi="Calibri" w:cs="Calibri"/>
          <w:b/>
          <w:bCs/>
          <w:color w:val="auto"/>
          <w:sz w:val="20"/>
          <w:szCs w:val="20"/>
        </w:rPr>
        <w:t>Conclusion</w:t>
      </w:r>
    </w:p>
    <w:p w14:paraId="5938C5F1" w14:textId="1DF5CCA4" w:rsidR="00AB08D7" w:rsidRDefault="00AB08D7" w:rsidP="00AB08D7">
      <w:pPr>
        <w:spacing w:line="360" w:lineRule="auto"/>
        <w:jc w:val="both"/>
        <w:rPr>
          <w:rFonts w:ascii="Calibri" w:hAnsi="Calibri" w:cs="Calibri"/>
          <w:color w:val="auto"/>
          <w:sz w:val="20"/>
          <w:szCs w:val="20"/>
        </w:rPr>
      </w:pPr>
      <w:r w:rsidRPr="00AB08D7">
        <w:rPr>
          <w:rFonts w:ascii="Calibri" w:hAnsi="Calibri" w:cs="Calibri"/>
          <w:color w:val="auto"/>
          <w:sz w:val="20"/>
          <w:szCs w:val="20"/>
          <w:shd w:val="clear" w:color="auto" w:fill="FFFFFF"/>
        </w:rPr>
        <w:t xml:space="preserve">Dolutegravir use in patients with HIV is associated with significant metabolic effects, especially increases in body fat, weight gain, and hyperglycaemia, with no significant effect on serum lipids. </w:t>
      </w:r>
      <w:r w:rsidRPr="00AB08D7">
        <w:rPr>
          <w:rFonts w:ascii="Calibri" w:hAnsi="Calibri" w:cs="Calibri"/>
          <w:color w:val="auto"/>
          <w:sz w:val="20"/>
          <w:szCs w:val="20"/>
        </w:rPr>
        <w:t>More studies are needed to further establish the short and long-term adverse metabolic effects of this antiretroviral agent.</w:t>
      </w:r>
    </w:p>
    <w:p w14:paraId="1470E0F8" w14:textId="6413563C" w:rsidR="00AB08D7" w:rsidRDefault="00AB08D7" w:rsidP="00AB08D7">
      <w:pPr>
        <w:spacing w:line="360" w:lineRule="auto"/>
        <w:jc w:val="both"/>
        <w:rPr>
          <w:rFonts w:ascii="Calibri" w:hAnsi="Calibri" w:cs="Calibri"/>
          <w:b/>
          <w:bCs/>
          <w:color w:val="auto"/>
          <w:sz w:val="20"/>
          <w:szCs w:val="20"/>
          <w:lang w:val="de-DE"/>
        </w:rPr>
      </w:pPr>
      <w:r w:rsidRPr="002F5DDB">
        <w:rPr>
          <w:rFonts w:ascii="Calibri" w:hAnsi="Calibri" w:cs="Calibri"/>
          <w:b/>
          <w:bCs/>
          <w:color w:val="auto"/>
          <w:sz w:val="20"/>
          <w:szCs w:val="20"/>
          <w:lang w:val="de-DE"/>
        </w:rPr>
        <w:t xml:space="preserve">References </w:t>
      </w:r>
    </w:p>
    <w:p w14:paraId="60B1BFC1" w14:textId="0A14E5A0" w:rsidR="00070B86" w:rsidRPr="00070B86" w:rsidRDefault="00070B86" w:rsidP="00070B86">
      <w:pPr>
        <w:autoSpaceDE w:val="0"/>
        <w:autoSpaceDN w:val="0"/>
        <w:rPr>
          <w:rFonts w:ascii="Calibri" w:eastAsia="Times New Roman" w:hAnsi="Calibri" w:cs="Calibri"/>
          <w:sz w:val="20"/>
          <w:szCs w:val="20"/>
        </w:rPr>
      </w:pPr>
      <w:r w:rsidRPr="00070B86">
        <w:rPr>
          <w:rFonts w:ascii="Calibri" w:eastAsia="Times New Roman" w:hAnsi="Calibri" w:cs="Calibri"/>
          <w:sz w:val="20"/>
          <w:szCs w:val="20"/>
          <w:lang w:val="de-DE"/>
        </w:rPr>
        <w:t xml:space="preserve">1. </w:t>
      </w:r>
      <w:r w:rsidRPr="00070B86">
        <w:rPr>
          <w:rFonts w:ascii="Calibri" w:eastAsia="Times New Roman" w:hAnsi="Calibri" w:cs="Calibri"/>
          <w:sz w:val="20"/>
          <w:szCs w:val="20"/>
          <w:lang w:val="de-DE"/>
        </w:rPr>
        <w:t xml:space="preserve">J Campbell, W Eigege, N Otubu, J Jiboye, L Anomnachi, F Lufadeju, et al. </w:t>
      </w:r>
      <w:r w:rsidRPr="00070B86">
        <w:rPr>
          <w:rFonts w:ascii="Calibri" w:eastAsia="Times New Roman" w:hAnsi="Calibri" w:cs="Calibri"/>
          <w:sz w:val="20"/>
          <w:szCs w:val="20"/>
        </w:rPr>
        <w:t xml:space="preserve">Weight gain plateaus at 24-months follow-up for ART-experienced patients that switched to dolutegravir in a Nigerian early adopter cohort. J Int AIDS Soc. 2020 Oct 5;23(S7). </w:t>
      </w:r>
    </w:p>
    <w:p w14:paraId="36908100" w14:textId="5112E7AA" w:rsidR="00070B86" w:rsidRPr="00070B86" w:rsidRDefault="00070B86" w:rsidP="00070B86">
      <w:pPr>
        <w:autoSpaceDE w:val="0"/>
        <w:autoSpaceDN w:val="0"/>
        <w:rPr>
          <w:rFonts w:ascii="Calibri" w:eastAsia="Times New Roman" w:hAnsi="Calibri" w:cs="Calibri"/>
          <w:sz w:val="20"/>
          <w:szCs w:val="20"/>
        </w:rPr>
      </w:pPr>
      <w:r w:rsidRPr="00070B86">
        <w:rPr>
          <w:rFonts w:ascii="Calibri" w:eastAsia="Times New Roman" w:hAnsi="Calibri" w:cs="Calibri"/>
          <w:sz w:val="20"/>
          <w:szCs w:val="20"/>
        </w:rPr>
        <w:t xml:space="preserve">2. </w:t>
      </w:r>
      <w:r w:rsidRPr="00070B86">
        <w:rPr>
          <w:rFonts w:ascii="Calibri" w:eastAsia="Times New Roman" w:hAnsi="Calibri" w:cs="Calibri"/>
          <w:sz w:val="20"/>
          <w:szCs w:val="20"/>
        </w:rPr>
        <w:t xml:space="preserve">The NAMSAL ANRS 12313 Study Group*. Dolutegravir-Based or Low-Dose Efavirenz– Based Regimen for the Treatment of HIV-1. N Engl J Med. </w:t>
      </w:r>
      <w:proofErr w:type="gramStart"/>
      <w:r w:rsidRPr="00070B86">
        <w:rPr>
          <w:rFonts w:ascii="Calibri" w:eastAsia="Times New Roman" w:hAnsi="Calibri" w:cs="Calibri"/>
          <w:sz w:val="20"/>
          <w:szCs w:val="20"/>
        </w:rPr>
        <w:t>2019;381:816</w:t>
      </w:r>
      <w:proofErr w:type="gramEnd"/>
      <w:r w:rsidRPr="00070B86">
        <w:rPr>
          <w:rFonts w:ascii="Calibri" w:eastAsia="Times New Roman" w:hAnsi="Calibri" w:cs="Calibri"/>
          <w:sz w:val="20"/>
          <w:szCs w:val="20"/>
        </w:rPr>
        <w:t xml:space="preserve">–42. </w:t>
      </w:r>
    </w:p>
    <w:p w14:paraId="6BE01E02" w14:textId="4AE66F03" w:rsidR="002F5DDB" w:rsidRPr="00070B86" w:rsidRDefault="00070B86" w:rsidP="00070B86">
      <w:pPr>
        <w:autoSpaceDE w:val="0"/>
        <w:autoSpaceDN w:val="0"/>
        <w:rPr>
          <w:rFonts w:ascii="Calibri" w:eastAsia="Times New Roman" w:hAnsi="Calibri" w:cs="Calibri"/>
          <w:sz w:val="20"/>
          <w:szCs w:val="20"/>
        </w:rPr>
      </w:pPr>
      <w:r w:rsidRPr="00070B86">
        <w:rPr>
          <w:rFonts w:ascii="Calibri" w:eastAsia="Times New Roman" w:hAnsi="Calibri" w:cs="Calibri"/>
          <w:sz w:val="20"/>
          <w:szCs w:val="20"/>
          <w:lang w:val="de-DE"/>
        </w:rPr>
        <w:t xml:space="preserve">3. </w:t>
      </w:r>
      <w:r w:rsidR="002F5DDB" w:rsidRPr="00070B86">
        <w:rPr>
          <w:rFonts w:ascii="Calibri" w:eastAsia="Times New Roman" w:hAnsi="Calibri" w:cs="Calibri"/>
          <w:sz w:val="20"/>
          <w:szCs w:val="20"/>
          <w:lang w:val="de-DE"/>
        </w:rPr>
        <w:t xml:space="preserve">Bischoff J, Gu W, Schwarze-Zander C, Boesecke C, Wasmuth JC, van Bremen K, et al. </w:t>
      </w:r>
      <w:r w:rsidR="002F5DDB" w:rsidRPr="00070B86">
        <w:rPr>
          <w:rFonts w:ascii="Calibri" w:eastAsia="Times New Roman" w:hAnsi="Calibri" w:cs="Calibri"/>
          <w:sz w:val="20"/>
          <w:szCs w:val="20"/>
        </w:rPr>
        <w:t>Stratifying the risk of NAFLD in patients with HIV under combination antiretroviral therapy (</w:t>
      </w:r>
      <w:proofErr w:type="spellStart"/>
      <w:r w:rsidR="002F5DDB" w:rsidRPr="00070B86">
        <w:rPr>
          <w:rFonts w:ascii="Calibri" w:eastAsia="Times New Roman" w:hAnsi="Calibri" w:cs="Calibri"/>
          <w:sz w:val="20"/>
          <w:szCs w:val="20"/>
        </w:rPr>
        <w:t>cART</w:t>
      </w:r>
      <w:proofErr w:type="spellEnd"/>
      <w:r w:rsidR="002F5DDB" w:rsidRPr="00070B86">
        <w:rPr>
          <w:rFonts w:ascii="Calibri" w:eastAsia="Times New Roman" w:hAnsi="Calibri" w:cs="Calibri"/>
          <w:sz w:val="20"/>
          <w:szCs w:val="20"/>
        </w:rPr>
        <w:t xml:space="preserve">). </w:t>
      </w:r>
      <w:proofErr w:type="spellStart"/>
      <w:r w:rsidR="002F5DDB" w:rsidRPr="00070B86">
        <w:rPr>
          <w:rFonts w:ascii="Calibri" w:eastAsia="Times New Roman" w:hAnsi="Calibri" w:cs="Calibri"/>
          <w:sz w:val="20"/>
          <w:szCs w:val="20"/>
        </w:rPr>
        <w:t>EClinicalMedicine</w:t>
      </w:r>
      <w:proofErr w:type="spellEnd"/>
      <w:r w:rsidR="002F5DDB" w:rsidRPr="00070B86">
        <w:rPr>
          <w:rFonts w:ascii="Calibri" w:eastAsia="Times New Roman" w:hAnsi="Calibri" w:cs="Calibri"/>
          <w:sz w:val="20"/>
          <w:szCs w:val="20"/>
        </w:rPr>
        <w:t xml:space="preserve">. 2021 </w:t>
      </w:r>
      <w:proofErr w:type="gramStart"/>
      <w:r w:rsidR="002F5DDB" w:rsidRPr="00070B86">
        <w:rPr>
          <w:rFonts w:ascii="Calibri" w:eastAsia="Times New Roman" w:hAnsi="Calibri" w:cs="Calibri"/>
          <w:sz w:val="20"/>
          <w:szCs w:val="20"/>
        </w:rPr>
        <w:t>Oct;40:101116</w:t>
      </w:r>
      <w:proofErr w:type="gramEnd"/>
      <w:r w:rsidR="002F5DDB" w:rsidRPr="00070B86">
        <w:rPr>
          <w:rFonts w:ascii="Calibri" w:eastAsia="Times New Roman" w:hAnsi="Calibri" w:cs="Calibri"/>
          <w:sz w:val="20"/>
          <w:szCs w:val="20"/>
        </w:rPr>
        <w:t xml:space="preserve">. </w:t>
      </w:r>
    </w:p>
    <w:p w14:paraId="36FA4A42" w14:textId="73792F3B" w:rsidR="000A4943" w:rsidRPr="00070B86" w:rsidRDefault="00070B86" w:rsidP="00070B86">
      <w:pPr>
        <w:autoSpaceDE w:val="0"/>
        <w:autoSpaceDN w:val="0"/>
        <w:rPr>
          <w:rFonts w:ascii="Calibri" w:eastAsia="Times New Roman" w:hAnsi="Calibri" w:cs="Calibri"/>
          <w:sz w:val="20"/>
          <w:szCs w:val="20"/>
        </w:rPr>
      </w:pPr>
      <w:r w:rsidRPr="00070B86">
        <w:rPr>
          <w:rFonts w:ascii="Calibri" w:eastAsia="Times New Roman" w:hAnsi="Calibri" w:cs="Calibri"/>
          <w:sz w:val="20"/>
          <w:szCs w:val="20"/>
        </w:rPr>
        <w:t xml:space="preserve">4. </w:t>
      </w:r>
      <w:r w:rsidR="002F5DDB" w:rsidRPr="00070B86">
        <w:rPr>
          <w:rFonts w:ascii="Calibri" w:eastAsia="Times New Roman" w:hAnsi="Calibri" w:cs="Calibri"/>
          <w:sz w:val="20"/>
          <w:szCs w:val="20"/>
        </w:rPr>
        <w:t xml:space="preserve">Bresciani E, </w:t>
      </w:r>
      <w:proofErr w:type="spellStart"/>
      <w:r w:rsidR="002F5DDB" w:rsidRPr="00070B86">
        <w:rPr>
          <w:rFonts w:ascii="Calibri" w:eastAsia="Times New Roman" w:hAnsi="Calibri" w:cs="Calibri"/>
          <w:sz w:val="20"/>
          <w:szCs w:val="20"/>
        </w:rPr>
        <w:t>Saletti</w:t>
      </w:r>
      <w:proofErr w:type="spellEnd"/>
      <w:r w:rsidR="002F5DDB" w:rsidRPr="00070B86">
        <w:rPr>
          <w:rFonts w:ascii="Calibri" w:eastAsia="Times New Roman" w:hAnsi="Calibri" w:cs="Calibri"/>
          <w:sz w:val="20"/>
          <w:szCs w:val="20"/>
        </w:rPr>
        <w:t xml:space="preserve"> C, Squillace N, Rizzi L, Molteni L, </w:t>
      </w:r>
      <w:proofErr w:type="spellStart"/>
      <w:r w:rsidR="002F5DDB" w:rsidRPr="00070B86">
        <w:rPr>
          <w:rFonts w:ascii="Calibri" w:eastAsia="Times New Roman" w:hAnsi="Calibri" w:cs="Calibri"/>
          <w:sz w:val="20"/>
          <w:szCs w:val="20"/>
        </w:rPr>
        <w:t>Meanti</w:t>
      </w:r>
      <w:proofErr w:type="spellEnd"/>
      <w:r w:rsidR="002F5DDB" w:rsidRPr="00070B86">
        <w:rPr>
          <w:rFonts w:ascii="Calibri" w:eastAsia="Times New Roman" w:hAnsi="Calibri" w:cs="Calibri"/>
          <w:sz w:val="20"/>
          <w:szCs w:val="20"/>
        </w:rPr>
        <w:t xml:space="preserve"> R, et al. miRNA-218 Targets Lipin-1 and Glucose Transporter Type 4 Genes in 3T3-L1 Cells Treated </w:t>
      </w:r>
      <w:proofErr w:type="gramStart"/>
      <w:r w:rsidR="002F5DDB" w:rsidRPr="00070B86">
        <w:rPr>
          <w:rFonts w:ascii="Calibri" w:eastAsia="Times New Roman" w:hAnsi="Calibri" w:cs="Calibri"/>
          <w:sz w:val="20"/>
          <w:szCs w:val="20"/>
        </w:rPr>
        <w:t>With</w:t>
      </w:r>
      <w:proofErr w:type="gramEnd"/>
      <w:r w:rsidR="002F5DDB" w:rsidRPr="00070B86">
        <w:rPr>
          <w:rFonts w:ascii="Calibri" w:eastAsia="Times New Roman" w:hAnsi="Calibri" w:cs="Calibri"/>
          <w:sz w:val="20"/>
          <w:szCs w:val="20"/>
        </w:rPr>
        <w:t xml:space="preserve"> Lopinavir/Ritonavir. Front </w:t>
      </w:r>
      <w:proofErr w:type="spellStart"/>
      <w:r w:rsidR="002F5DDB" w:rsidRPr="00070B86">
        <w:rPr>
          <w:rFonts w:ascii="Calibri" w:eastAsia="Times New Roman" w:hAnsi="Calibri" w:cs="Calibri"/>
          <w:sz w:val="20"/>
          <w:szCs w:val="20"/>
        </w:rPr>
        <w:t>Pharmacol</w:t>
      </w:r>
      <w:proofErr w:type="spellEnd"/>
      <w:r w:rsidR="002F5DDB" w:rsidRPr="00070B86">
        <w:rPr>
          <w:rFonts w:ascii="Calibri" w:eastAsia="Times New Roman" w:hAnsi="Calibri" w:cs="Calibri"/>
          <w:sz w:val="20"/>
          <w:szCs w:val="20"/>
        </w:rPr>
        <w:t xml:space="preserve">. 2019 Apr 30;10. </w:t>
      </w:r>
    </w:p>
    <w:p w14:paraId="502246B2" w14:textId="5FC6C4E3" w:rsidR="00070B86" w:rsidRPr="00070B86" w:rsidRDefault="00070B86" w:rsidP="00070B86">
      <w:pPr>
        <w:autoSpaceDE w:val="0"/>
        <w:autoSpaceDN w:val="0"/>
        <w:rPr>
          <w:rFonts w:ascii="Calibri" w:eastAsia="Times New Roman" w:hAnsi="Calibri" w:cs="Calibri"/>
          <w:sz w:val="20"/>
          <w:szCs w:val="20"/>
        </w:rPr>
      </w:pPr>
      <w:r w:rsidRPr="00070B86">
        <w:rPr>
          <w:rFonts w:ascii="Calibri" w:eastAsia="Times New Roman" w:hAnsi="Calibri" w:cs="Calibri"/>
          <w:sz w:val="20"/>
          <w:szCs w:val="20"/>
        </w:rPr>
        <w:t xml:space="preserve">5. </w:t>
      </w:r>
      <w:r w:rsidRPr="00070B86">
        <w:rPr>
          <w:rFonts w:ascii="Calibri" w:eastAsia="Times New Roman" w:hAnsi="Calibri" w:cs="Calibri"/>
          <w:sz w:val="20"/>
          <w:szCs w:val="20"/>
        </w:rPr>
        <w:t xml:space="preserve">Norwood J, Turner M, Bofill C, Rebeiro P, Shepherd B, Bebawy S, et al. Brief Report: Weight Gain in Persons </w:t>
      </w:r>
      <w:proofErr w:type="gramStart"/>
      <w:r w:rsidRPr="00070B86">
        <w:rPr>
          <w:rFonts w:ascii="Calibri" w:eastAsia="Times New Roman" w:hAnsi="Calibri" w:cs="Calibri"/>
          <w:sz w:val="20"/>
          <w:szCs w:val="20"/>
        </w:rPr>
        <w:t>With</w:t>
      </w:r>
      <w:proofErr w:type="gramEnd"/>
      <w:r w:rsidRPr="00070B86">
        <w:rPr>
          <w:rFonts w:ascii="Calibri" w:eastAsia="Times New Roman" w:hAnsi="Calibri" w:cs="Calibri"/>
          <w:sz w:val="20"/>
          <w:szCs w:val="20"/>
        </w:rPr>
        <w:t xml:space="preserve"> HIV Switched </w:t>
      </w:r>
      <w:proofErr w:type="gramStart"/>
      <w:r w:rsidRPr="00070B86">
        <w:rPr>
          <w:rFonts w:ascii="Calibri" w:eastAsia="Times New Roman" w:hAnsi="Calibri" w:cs="Calibri"/>
          <w:sz w:val="20"/>
          <w:szCs w:val="20"/>
        </w:rPr>
        <w:t>From</w:t>
      </w:r>
      <w:proofErr w:type="gramEnd"/>
      <w:r w:rsidRPr="00070B86">
        <w:rPr>
          <w:rFonts w:ascii="Calibri" w:eastAsia="Times New Roman" w:hAnsi="Calibri" w:cs="Calibri"/>
          <w:sz w:val="20"/>
          <w:szCs w:val="20"/>
        </w:rPr>
        <w:t xml:space="preserve"> Efavirenz-Based to Integrase Strand Transfer Inhibitor–Based Regimens. JAIDS Journal of Acquired Immune Deficiency Syndromes. 2017 Dec 15;76(5):527–31. </w:t>
      </w:r>
    </w:p>
    <w:p w14:paraId="4DFF0DD4" w14:textId="0C1B5E5A" w:rsidR="00070B86" w:rsidRPr="00070B86" w:rsidRDefault="00070B86" w:rsidP="00070B86">
      <w:pPr>
        <w:autoSpaceDE w:val="0"/>
        <w:autoSpaceDN w:val="0"/>
        <w:rPr>
          <w:rFonts w:ascii="Calibri" w:eastAsia="Times New Roman" w:hAnsi="Calibri" w:cs="Calibri"/>
          <w:sz w:val="20"/>
          <w:szCs w:val="20"/>
        </w:rPr>
      </w:pPr>
      <w:r w:rsidRPr="00070B86">
        <w:rPr>
          <w:rFonts w:ascii="Calibri" w:eastAsia="Times New Roman" w:hAnsi="Calibri" w:cs="Calibri"/>
          <w:sz w:val="20"/>
          <w:szCs w:val="20"/>
        </w:rPr>
        <w:t xml:space="preserve">6. </w:t>
      </w:r>
      <w:r w:rsidRPr="00070B86">
        <w:rPr>
          <w:rFonts w:ascii="Calibri" w:eastAsia="Times New Roman" w:hAnsi="Calibri" w:cs="Calibri"/>
          <w:sz w:val="20"/>
          <w:szCs w:val="20"/>
        </w:rPr>
        <w:t xml:space="preserve">McMahon C, Trevaskis JL, Carter C, Holsapple K, White K, Das M, et al. Lack of an association between clinical INSTI-related body weight gain and direct interference with MC4 receptor (MC4R), a key central regulator of body weight. </w:t>
      </w:r>
      <w:proofErr w:type="spellStart"/>
      <w:r w:rsidRPr="00070B86">
        <w:rPr>
          <w:rFonts w:ascii="Calibri" w:eastAsia="Times New Roman" w:hAnsi="Calibri" w:cs="Calibri"/>
          <w:sz w:val="20"/>
          <w:szCs w:val="20"/>
        </w:rPr>
        <w:t>PLoS</w:t>
      </w:r>
      <w:proofErr w:type="spellEnd"/>
      <w:r w:rsidRPr="00070B86">
        <w:rPr>
          <w:rFonts w:ascii="Calibri" w:eastAsia="Times New Roman" w:hAnsi="Calibri" w:cs="Calibri"/>
          <w:sz w:val="20"/>
          <w:szCs w:val="20"/>
        </w:rPr>
        <w:t xml:space="preserve"> One. 2020 Feb 28;15(2</w:t>
      </w:r>
      <w:proofErr w:type="gramStart"/>
      <w:r w:rsidRPr="00070B86">
        <w:rPr>
          <w:rFonts w:ascii="Calibri" w:eastAsia="Times New Roman" w:hAnsi="Calibri" w:cs="Calibri"/>
          <w:sz w:val="20"/>
          <w:szCs w:val="20"/>
        </w:rPr>
        <w:t>):e</w:t>
      </w:r>
      <w:proofErr w:type="gramEnd"/>
      <w:r w:rsidRPr="00070B86">
        <w:rPr>
          <w:rFonts w:ascii="Calibri" w:eastAsia="Times New Roman" w:hAnsi="Calibri" w:cs="Calibri"/>
          <w:sz w:val="20"/>
          <w:szCs w:val="20"/>
        </w:rPr>
        <w:t xml:space="preserve">0229617. </w:t>
      </w:r>
    </w:p>
    <w:p w14:paraId="4CC25ED3" w14:textId="5ED0991B" w:rsidR="00070B86" w:rsidRPr="00070B86" w:rsidRDefault="00070B86" w:rsidP="00070B86">
      <w:pPr>
        <w:autoSpaceDE w:val="0"/>
        <w:autoSpaceDN w:val="0"/>
        <w:rPr>
          <w:rFonts w:ascii="Calibri" w:eastAsia="Times New Roman" w:hAnsi="Calibri" w:cs="Calibri"/>
          <w:sz w:val="20"/>
          <w:szCs w:val="20"/>
        </w:rPr>
      </w:pPr>
      <w:r w:rsidRPr="00070B86">
        <w:rPr>
          <w:rFonts w:ascii="Calibri" w:eastAsia="Times New Roman" w:hAnsi="Calibri" w:cs="Calibri"/>
          <w:sz w:val="20"/>
          <w:szCs w:val="20"/>
        </w:rPr>
        <w:t xml:space="preserve">7. </w:t>
      </w:r>
      <w:r w:rsidRPr="00070B86">
        <w:rPr>
          <w:rFonts w:ascii="Calibri" w:eastAsia="Times New Roman" w:hAnsi="Calibri" w:cs="Calibri"/>
          <w:sz w:val="20"/>
          <w:szCs w:val="20"/>
        </w:rPr>
        <w:t xml:space="preserve">Ursenbach A, Max V, Maurel M, Bani-Sadr F, Gagneux-Brunon A, </w:t>
      </w:r>
      <w:proofErr w:type="spellStart"/>
      <w:r w:rsidRPr="00070B86">
        <w:rPr>
          <w:rFonts w:ascii="Calibri" w:eastAsia="Times New Roman" w:hAnsi="Calibri" w:cs="Calibri"/>
          <w:sz w:val="20"/>
          <w:szCs w:val="20"/>
        </w:rPr>
        <w:t>Garraffo</w:t>
      </w:r>
      <w:proofErr w:type="spellEnd"/>
      <w:r w:rsidRPr="00070B86">
        <w:rPr>
          <w:rFonts w:ascii="Calibri" w:eastAsia="Times New Roman" w:hAnsi="Calibri" w:cs="Calibri"/>
          <w:sz w:val="20"/>
          <w:szCs w:val="20"/>
        </w:rPr>
        <w:t xml:space="preserve"> R, et al. Incidence of diabetes in HIV-infected patients treated with first-line integrase strand transfer inhibitors: a French multicentre retrospective study. Journal of Antimicrobial Chemotherapy. 2020 Nov 1;75(11):3344–8. </w:t>
      </w:r>
    </w:p>
    <w:p w14:paraId="57BC9234" w14:textId="592829DB" w:rsidR="00070B86" w:rsidRPr="00070B86" w:rsidRDefault="00070B86" w:rsidP="00070B86">
      <w:pPr>
        <w:autoSpaceDE w:val="0"/>
        <w:autoSpaceDN w:val="0"/>
        <w:rPr>
          <w:rFonts w:ascii="Calibri" w:eastAsia="Times New Roman" w:hAnsi="Calibri" w:cs="Calibri"/>
          <w:sz w:val="20"/>
          <w:szCs w:val="20"/>
        </w:rPr>
      </w:pPr>
      <w:r w:rsidRPr="00070B86">
        <w:rPr>
          <w:rFonts w:ascii="Calibri" w:eastAsia="Times New Roman" w:hAnsi="Calibri" w:cs="Calibri"/>
          <w:sz w:val="20"/>
          <w:szCs w:val="20"/>
        </w:rPr>
        <w:t xml:space="preserve">8. </w:t>
      </w:r>
      <w:proofErr w:type="spellStart"/>
      <w:r w:rsidRPr="00070B86">
        <w:rPr>
          <w:rFonts w:ascii="Calibri" w:eastAsia="Times New Roman" w:hAnsi="Calibri" w:cs="Calibri"/>
          <w:sz w:val="20"/>
          <w:szCs w:val="20"/>
        </w:rPr>
        <w:t>Mathabire</w:t>
      </w:r>
      <w:proofErr w:type="spellEnd"/>
      <w:r w:rsidRPr="00070B86">
        <w:rPr>
          <w:rFonts w:ascii="Calibri" w:eastAsia="Times New Roman" w:hAnsi="Calibri" w:cs="Calibri"/>
          <w:sz w:val="20"/>
          <w:szCs w:val="20"/>
        </w:rPr>
        <w:t xml:space="preserve"> Rücker SC, Tayea A, </w:t>
      </w:r>
      <w:proofErr w:type="spellStart"/>
      <w:r w:rsidRPr="00070B86">
        <w:rPr>
          <w:rFonts w:ascii="Calibri" w:eastAsia="Times New Roman" w:hAnsi="Calibri" w:cs="Calibri"/>
          <w:sz w:val="20"/>
          <w:szCs w:val="20"/>
        </w:rPr>
        <w:t>Bitilinyu-Bangoh</w:t>
      </w:r>
      <w:proofErr w:type="spellEnd"/>
      <w:r w:rsidRPr="00070B86">
        <w:rPr>
          <w:rFonts w:ascii="Calibri" w:eastAsia="Times New Roman" w:hAnsi="Calibri" w:cs="Calibri"/>
          <w:sz w:val="20"/>
          <w:szCs w:val="20"/>
        </w:rPr>
        <w:t xml:space="preserve"> J, Bermúdez-Aza EH, Salumu L, Quiles IA, et al. High rates of hypertension, diabetes, elevated low-density lipoprotein cholesterol, and cardiovascular disease risk factors in HIV-infected patients in Malawi. AIDS. 2018 Jan 14;32(2):253–60. </w:t>
      </w:r>
    </w:p>
    <w:p w14:paraId="6030EDDE" w14:textId="77777777" w:rsidR="00070B86" w:rsidRPr="00070B86" w:rsidRDefault="00070B86" w:rsidP="00070B86">
      <w:pPr>
        <w:autoSpaceDE w:val="0"/>
        <w:autoSpaceDN w:val="0"/>
        <w:rPr>
          <w:rFonts w:ascii="Calibri" w:eastAsia="Times New Roman" w:hAnsi="Calibri" w:cs="Calibri"/>
          <w:sz w:val="20"/>
          <w:szCs w:val="20"/>
        </w:rPr>
      </w:pPr>
    </w:p>
    <w:sectPr w:rsidR="00070B86" w:rsidRPr="00070B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8D7"/>
    <w:rsid w:val="00070B86"/>
    <w:rsid w:val="000A4943"/>
    <w:rsid w:val="002427C2"/>
    <w:rsid w:val="002F5DDB"/>
    <w:rsid w:val="0033682C"/>
    <w:rsid w:val="00AB0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38E452"/>
  <w15:chartTrackingRefBased/>
  <w15:docId w15:val="{ED54695D-3E9A-4D86-96D3-57A4BCEE7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8D7"/>
    <w:pPr>
      <w:spacing w:after="0" w:line="240" w:lineRule="auto"/>
    </w:pPr>
    <w:rPr>
      <w:rFonts w:ascii="Times New Roman" w:eastAsia="Arial Unicode MS" w:hAnsi="Times New Roman" w:cs="Arial Unicode MS"/>
      <w:color w:val="000000"/>
      <w:kern w:val="0"/>
      <w:u w:color="000000"/>
      <w:lang w:val="en-GB" w:eastAsia="en-GB"/>
      <w14:ligatures w14:val="none"/>
    </w:rPr>
  </w:style>
  <w:style w:type="paragraph" w:styleId="Heading1">
    <w:name w:val="heading 1"/>
    <w:basedOn w:val="Normal"/>
    <w:next w:val="Normal"/>
    <w:link w:val="Heading1Char"/>
    <w:uiPriority w:val="9"/>
    <w:qFormat/>
    <w:rsid w:val="00AB08D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AB08D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AB08D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AB08D7"/>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AB08D7"/>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AB08D7"/>
    <w:pPr>
      <w:keepNext/>
      <w:keepLines/>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AB08D7"/>
    <w:pPr>
      <w:keepNext/>
      <w:keepLines/>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AB08D7"/>
    <w:pPr>
      <w:keepNext/>
      <w:keepLines/>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AB08D7"/>
    <w:pPr>
      <w:keepNext/>
      <w:keepLines/>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8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08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08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08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08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08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8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8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8D7"/>
    <w:rPr>
      <w:rFonts w:eastAsiaTheme="majorEastAsia" w:cstheme="majorBidi"/>
      <w:color w:val="272727" w:themeColor="text1" w:themeTint="D8"/>
    </w:rPr>
  </w:style>
  <w:style w:type="paragraph" w:styleId="Title">
    <w:name w:val="Title"/>
    <w:basedOn w:val="Normal"/>
    <w:next w:val="Normal"/>
    <w:link w:val="TitleChar"/>
    <w:uiPriority w:val="10"/>
    <w:qFormat/>
    <w:rsid w:val="00AB08D7"/>
    <w:pPr>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AB08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8D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AB08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8D7"/>
    <w:pPr>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AB08D7"/>
    <w:rPr>
      <w:i/>
      <w:iCs/>
      <w:color w:val="404040" w:themeColor="text1" w:themeTint="BF"/>
    </w:rPr>
  </w:style>
  <w:style w:type="paragraph" w:styleId="ListParagraph">
    <w:name w:val="List Paragraph"/>
    <w:basedOn w:val="Normal"/>
    <w:uiPriority w:val="34"/>
    <w:qFormat/>
    <w:rsid w:val="00AB08D7"/>
    <w:pPr>
      <w:spacing w:after="160" w:line="278" w:lineRule="auto"/>
      <w:ind w:left="720"/>
      <w:contextualSpacing/>
    </w:pPr>
    <w:rPr>
      <w:rFonts w:asciiTheme="minorHAnsi" w:eastAsiaTheme="minorHAnsi" w:hAnsiTheme="minorHAnsi" w:cstheme="minorBidi"/>
      <w:color w:val="auto"/>
      <w:kern w:val="2"/>
      <w:lang w:val="en-US" w:eastAsia="en-US"/>
      <w14:ligatures w14:val="standardContextual"/>
    </w:rPr>
  </w:style>
  <w:style w:type="character" w:styleId="IntenseEmphasis">
    <w:name w:val="Intense Emphasis"/>
    <w:basedOn w:val="DefaultParagraphFont"/>
    <w:uiPriority w:val="21"/>
    <w:qFormat/>
    <w:rsid w:val="00AB08D7"/>
    <w:rPr>
      <w:i/>
      <w:iCs/>
      <w:color w:val="0F4761" w:themeColor="accent1" w:themeShade="BF"/>
    </w:rPr>
  </w:style>
  <w:style w:type="paragraph" w:styleId="IntenseQuote">
    <w:name w:val="Intense Quote"/>
    <w:basedOn w:val="Normal"/>
    <w:next w:val="Normal"/>
    <w:link w:val="IntenseQuoteChar"/>
    <w:uiPriority w:val="30"/>
    <w:qFormat/>
    <w:rsid w:val="00AB08D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AB08D7"/>
    <w:rPr>
      <w:i/>
      <w:iCs/>
      <w:color w:val="0F4761" w:themeColor="accent1" w:themeShade="BF"/>
    </w:rPr>
  </w:style>
  <w:style w:type="character" w:styleId="IntenseReference">
    <w:name w:val="Intense Reference"/>
    <w:basedOn w:val="DefaultParagraphFont"/>
    <w:uiPriority w:val="32"/>
    <w:qFormat/>
    <w:rsid w:val="00AB08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822</Words>
  <Characters>4744</Characters>
  <Application>Microsoft Office Word</Application>
  <DocSecurity>0</DocSecurity>
  <Lines>65</Lines>
  <Paragraphs>32</Paragraphs>
  <ScaleCrop>false</ScaleCrop>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Mansur Ramalan</dc:creator>
  <cp:keywords/>
  <dc:description/>
  <cp:lastModifiedBy>Mansur Ramalan</cp:lastModifiedBy>
  <cp:revision>3</cp:revision>
  <dcterms:created xsi:type="dcterms:W3CDTF">2025-09-15T23:03:00Z</dcterms:created>
  <dcterms:modified xsi:type="dcterms:W3CDTF">2025-09-15T23:05:00Z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b94e4dc6-54d0-434c-b576-0bc9e4d199bb</vt:lpwstr>
  </property>
</Properties>
</file>