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01FED" w:rsidRDefault="00203676" w14:paraId="00000001" w14:textId="77777777">
      <w:pPr>
        <w:pStyle w:val="Normal1"/>
        <w:pBdr>
          <w:top w:val="nil"/>
          <w:left w:val="nil"/>
          <w:bottom w:val="nil"/>
          <w:right w:val="nil"/>
          <w:between w:val="nil"/>
        </w:pBdr>
        <w:jc w:val="both"/>
        <w:rPr>
          <w:rFonts w:ascii="Calibri" w:hAnsi="Calibri" w:eastAsia="Calibri" w:cs="Calibri"/>
          <w:b/>
          <w:color w:val="000000"/>
          <w:sz w:val="20"/>
          <w:szCs w:val="20"/>
        </w:rPr>
      </w:pPr>
      <w:r>
        <w:rPr>
          <w:rFonts w:ascii="Calibri" w:hAnsi="Calibri" w:eastAsia="Calibri" w:cs="Calibri"/>
          <w:b/>
          <w:sz w:val="20"/>
          <w:szCs w:val="20"/>
        </w:rPr>
        <w:t>Thinking about Thinking: Metacognitive Strategies in Simulation and TBL</w:t>
      </w:r>
    </w:p>
    <w:p w:rsidR="00801FED" w:rsidRDefault="00203676" w14:paraId="00000002" w14:textId="77777777">
      <w:pPr>
        <w:pStyle w:val="Normal1"/>
        <w:pBdr>
          <w:top w:val="nil"/>
          <w:left w:val="nil"/>
          <w:bottom w:val="nil"/>
          <w:right w:val="nil"/>
          <w:between w:val="nil"/>
        </w:pBdr>
        <w:jc w:val="both"/>
        <w:rPr>
          <w:rFonts w:ascii="Calibri" w:hAnsi="Calibri" w:eastAsia="Calibri" w:cs="Calibri"/>
          <w:color w:val="000000"/>
          <w:sz w:val="20"/>
          <w:szCs w:val="20"/>
          <w:vertAlign w:val="superscript"/>
        </w:rPr>
      </w:pPr>
      <w:r>
        <w:rPr>
          <w:rFonts w:ascii="Calibri" w:hAnsi="Calibri" w:eastAsia="Calibri" w:cs="Calibri"/>
          <w:sz w:val="20"/>
          <w:szCs w:val="20"/>
        </w:rPr>
        <w:t>Naunihal T Zaveri</w:t>
      </w:r>
      <w:r>
        <w:rPr>
          <w:rFonts w:ascii="Calibri" w:hAnsi="Calibri" w:eastAsia="Calibri" w:cs="Calibri"/>
          <w:color w:val="000000"/>
          <w:sz w:val="20"/>
          <w:szCs w:val="20"/>
          <w:vertAlign w:val="superscript"/>
        </w:rPr>
        <w:t>1</w:t>
      </w:r>
      <w:r>
        <w:rPr>
          <w:rFonts w:ascii="Calibri" w:hAnsi="Calibri" w:eastAsia="Calibri" w:cs="Calibri"/>
          <w:color w:val="000000"/>
          <w:sz w:val="20"/>
          <w:szCs w:val="20"/>
        </w:rPr>
        <w:t xml:space="preserve">, </w:t>
      </w:r>
      <w:r>
        <w:rPr>
          <w:rFonts w:ascii="Calibri" w:hAnsi="Calibri" w:eastAsia="Calibri" w:cs="Calibri"/>
          <w:sz w:val="20"/>
          <w:szCs w:val="20"/>
        </w:rPr>
        <w:t>Michael Lee</w:t>
      </w:r>
      <w:r>
        <w:rPr>
          <w:rFonts w:ascii="Calibri" w:hAnsi="Calibri" w:eastAsia="Calibri" w:cs="Calibri"/>
          <w:color w:val="000000"/>
          <w:sz w:val="20"/>
          <w:szCs w:val="20"/>
          <w:vertAlign w:val="superscript"/>
        </w:rPr>
        <w:t>2</w:t>
      </w:r>
      <w:r>
        <w:rPr>
          <w:rFonts w:ascii="Calibri" w:hAnsi="Calibri" w:eastAsia="Calibri" w:cs="Calibri"/>
          <w:color w:val="000000"/>
          <w:sz w:val="20"/>
          <w:szCs w:val="20"/>
        </w:rPr>
        <w:t>. Department of Specialty Medicine, Orlando College of Osteopathic Medicine, Winter Garden, FL</w:t>
      </w:r>
      <w:r>
        <w:rPr>
          <w:rFonts w:ascii="Calibri" w:hAnsi="Calibri" w:eastAsia="Calibri" w:cs="Calibri"/>
          <w:sz w:val="20"/>
          <w:szCs w:val="20"/>
        </w:rPr>
        <w:t xml:space="preserve">, USA </w:t>
      </w:r>
      <w:r>
        <w:rPr>
          <w:rFonts w:ascii="Calibri" w:hAnsi="Calibri" w:eastAsia="Calibri" w:cs="Calibri"/>
          <w:sz w:val="20"/>
          <w:szCs w:val="20"/>
          <w:vertAlign w:val="superscript"/>
        </w:rPr>
        <w:t>1</w:t>
      </w:r>
      <w:r>
        <w:rPr>
          <w:rFonts w:ascii="Calibri" w:hAnsi="Calibri" w:eastAsia="Calibri" w:cs="Calibri"/>
          <w:color w:val="000000"/>
          <w:sz w:val="20"/>
          <w:szCs w:val="20"/>
        </w:rPr>
        <w:t xml:space="preserve">; </w:t>
      </w:r>
      <w:r>
        <w:rPr>
          <w:rFonts w:ascii="Calibri" w:hAnsi="Calibri" w:eastAsia="Calibri" w:cs="Calibri"/>
          <w:sz w:val="20"/>
          <w:szCs w:val="20"/>
        </w:rPr>
        <w:t>Department of Medical Education, Geisel School of Medicine Dartmouth, Hanover, NH, USA</w:t>
      </w:r>
      <w:r>
        <w:rPr>
          <w:rFonts w:ascii="Calibri" w:hAnsi="Calibri" w:eastAsia="Calibri" w:cs="Calibri"/>
          <w:color w:val="000000"/>
          <w:sz w:val="20"/>
          <w:szCs w:val="20"/>
        </w:rPr>
        <w:t xml:space="preserve"> </w:t>
      </w:r>
      <w:r>
        <w:rPr>
          <w:rFonts w:ascii="Calibri" w:hAnsi="Calibri" w:eastAsia="Calibri" w:cs="Calibri"/>
          <w:color w:val="000000"/>
          <w:sz w:val="20"/>
          <w:szCs w:val="20"/>
          <w:vertAlign w:val="superscript"/>
        </w:rPr>
        <w:t>2</w:t>
      </w:r>
    </w:p>
    <w:p w:rsidR="00801FED" w:rsidRDefault="00203676" w14:paraId="00000003" w14:textId="77777777">
      <w:pPr>
        <w:pStyle w:val="Normal1"/>
        <w:widowControl w:val="0"/>
        <w:pBdr>
          <w:top w:val="nil"/>
          <w:left w:val="nil"/>
          <w:bottom w:val="nil"/>
          <w:right w:val="nil"/>
          <w:between w:val="nil"/>
        </w:pBdr>
        <w:jc w:val="both"/>
        <w:rPr>
          <w:rFonts w:ascii="Calibri" w:hAnsi="Calibri" w:eastAsia="Calibri" w:cs="Calibri"/>
          <w:color w:val="000000"/>
          <w:sz w:val="20"/>
          <w:szCs w:val="20"/>
        </w:rPr>
      </w:pPr>
      <w:r>
        <w:rPr>
          <w:rFonts w:ascii="Calibri" w:hAnsi="Calibri" w:eastAsia="Calibri" w:cs="Calibri"/>
          <w:i/>
          <w:color w:val="000000"/>
          <w:sz w:val="20"/>
          <w:szCs w:val="20"/>
        </w:rPr>
        <w:t xml:space="preserve"> </w:t>
      </w:r>
    </w:p>
    <w:p w:rsidR="00801FED" w:rsidRDefault="00203676" w14:paraId="00000004" w14:textId="77777777">
      <w:pPr>
        <w:pStyle w:val="Normal1"/>
        <w:pBdr>
          <w:top w:val="nil"/>
          <w:left w:val="nil"/>
          <w:bottom w:val="nil"/>
          <w:right w:val="nil"/>
          <w:between w:val="nil"/>
        </w:pBdr>
        <w:jc w:val="both"/>
        <w:rPr>
          <w:rFonts w:ascii="Calibri" w:hAnsi="Calibri" w:eastAsia="Calibri" w:cs="Calibri"/>
          <w:color w:val="000000"/>
          <w:sz w:val="20"/>
          <w:szCs w:val="20"/>
        </w:rPr>
      </w:pPr>
      <w:r>
        <w:rPr>
          <w:rFonts w:ascii="Calibri" w:hAnsi="Calibri" w:eastAsia="Calibri" w:cs="Calibri"/>
          <w:b/>
          <w:color w:val="000000"/>
          <w:sz w:val="20"/>
          <w:szCs w:val="20"/>
        </w:rPr>
        <w:t>Introduction.</w:t>
      </w:r>
      <w:r>
        <w:rPr>
          <w:rFonts w:ascii="Calibri" w:hAnsi="Calibri" w:eastAsia="Calibri" w:cs="Calibri"/>
          <w:color w:val="000000"/>
          <w:sz w:val="20"/>
          <w:szCs w:val="20"/>
        </w:rPr>
        <w:t xml:space="preserve"> Pharmacology is a foundational basic medical science and students often struggle with retaining and applying complex concepts to clinical practice over time</w:t>
      </w:r>
      <w:r>
        <w:rPr>
          <w:rFonts w:ascii="Calibri" w:hAnsi="Calibri" w:eastAsia="Calibri" w:cs="Calibri"/>
          <w:sz w:val="20"/>
          <w:szCs w:val="20"/>
        </w:rPr>
        <w:t>. Simulation (SIM) and team-based learning (TBL) are active learning modalities that engage learners in real-time allowing them to apply pharmacological principles in realistic clinical scenarios, reflect on decision-making, and identify knowledge gaps. Integrating metacognition, the awareness and regulation of one’s own thinking, into SIM and TBL offer</w:t>
      </w:r>
      <w:r>
        <w:rPr>
          <w:rFonts w:ascii="Calibri" w:hAnsi="Calibri" w:eastAsia="Calibri" w:cs="Calibri"/>
          <w:sz w:val="20"/>
          <w:szCs w:val="20"/>
        </w:rPr>
        <w:t xml:space="preserve">s an approach that can richly enhance pharmacology knowledge retention and application. </w:t>
      </w:r>
    </w:p>
    <w:p w:rsidR="00801FED" w:rsidRDefault="00203676" w14:paraId="00000005" w14:textId="77777777">
      <w:pPr>
        <w:pStyle w:val="Normal1"/>
        <w:pBdr>
          <w:top w:val="nil"/>
          <w:left w:val="nil"/>
          <w:bottom w:val="nil"/>
          <w:right w:val="nil"/>
          <w:between w:val="nil"/>
        </w:pBdr>
        <w:jc w:val="both"/>
        <w:rPr>
          <w:rFonts w:ascii="Calibri" w:hAnsi="Calibri" w:eastAsia="Calibri" w:cs="Calibri"/>
          <w:color w:val="000000"/>
          <w:sz w:val="20"/>
          <w:szCs w:val="20"/>
        </w:rPr>
      </w:pPr>
      <w:r>
        <w:rPr>
          <w:rFonts w:ascii="Calibri" w:hAnsi="Calibri" w:eastAsia="Calibri" w:cs="Calibri"/>
          <w:b/>
          <w:color w:val="000000"/>
          <w:sz w:val="20"/>
          <w:szCs w:val="20"/>
        </w:rPr>
        <w:t>Aims</w:t>
      </w:r>
      <w:r>
        <w:rPr>
          <w:rFonts w:ascii="Calibri" w:hAnsi="Calibri" w:eastAsia="Calibri" w:cs="Calibri"/>
          <w:color w:val="000000"/>
          <w:sz w:val="20"/>
          <w:szCs w:val="20"/>
        </w:rPr>
        <w:t xml:space="preserve">. </w:t>
      </w:r>
      <w:r>
        <w:rPr>
          <w:rFonts w:ascii="Calibri" w:hAnsi="Calibri" w:eastAsia="Calibri" w:cs="Calibri"/>
          <w:sz w:val="20"/>
          <w:szCs w:val="20"/>
        </w:rPr>
        <w:t>This session aims to: 1) explore how applying metacognitive processes into SIM and TBL enhances retention of pharmacology knowledge, 2) identify techniques to incorporate reflection, peer interaction, and structured debriefing to foster cognitive engagement, 3) discuss strategies to improve long-term retention and  4) provide participants with tools to be able to implement these strategies in their educational institutions.</w:t>
      </w:r>
    </w:p>
    <w:p w:rsidR="00801FED" w:rsidRDefault="00203676" w14:paraId="00000006" w14:textId="77777777">
      <w:pPr>
        <w:pStyle w:val="Normal1"/>
        <w:pBdr>
          <w:top w:val="nil"/>
          <w:left w:val="nil"/>
          <w:bottom w:val="nil"/>
          <w:right w:val="nil"/>
          <w:between w:val="nil"/>
        </w:pBdr>
        <w:jc w:val="both"/>
        <w:rPr>
          <w:rFonts w:ascii="Calibri" w:hAnsi="Calibri" w:eastAsia="Calibri" w:cs="Calibri"/>
          <w:color w:val="000000"/>
          <w:sz w:val="20"/>
          <w:szCs w:val="20"/>
        </w:rPr>
      </w:pPr>
      <w:r>
        <w:rPr>
          <w:rFonts w:ascii="Calibri" w:hAnsi="Calibri" w:eastAsia="Calibri" w:cs="Calibri"/>
          <w:b/>
          <w:color w:val="000000"/>
          <w:sz w:val="20"/>
          <w:szCs w:val="20"/>
        </w:rPr>
        <w:t>Methods</w:t>
      </w:r>
      <w:r>
        <w:rPr>
          <w:rFonts w:ascii="Calibri" w:hAnsi="Calibri" w:eastAsia="Calibri" w:cs="Calibri"/>
          <w:color w:val="000000"/>
          <w:sz w:val="20"/>
          <w:szCs w:val="20"/>
        </w:rPr>
        <w:t xml:space="preserve">. </w:t>
      </w:r>
      <w:r>
        <w:rPr>
          <w:rFonts w:ascii="Calibri" w:hAnsi="Calibri" w:eastAsia="Calibri" w:cs="Calibri"/>
          <w:sz w:val="20"/>
          <w:szCs w:val="20"/>
        </w:rPr>
        <w:t xml:space="preserve">Participants will be organized into small groups to discuss how SIM sessions can be designed for pharmacological principles to be applied to clinical scenarios, requiring learners to critically reflect on actions and clinical outcomes. Groups will also discuss how TBL sessions can be designed metacognitively to promote collaborative problem solving, using peer interactions to articulate reasoning and identify misconceptions and knowledge gaps. </w:t>
      </w:r>
    </w:p>
    <w:p w:rsidR="00801FED" w:rsidRDefault="00203676" w14:paraId="00000007" w14:textId="77777777">
      <w:pPr>
        <w:pStyle w:val="Normal1"/>
        <w:pBdr>
          <w:top w:val="nil"/>
          <w:left w:val="nil"/>
          <w:bottom w:val="nil"/>
          <w:right w:val="nil"/>
          <w:between w:val="nil"/>
        </w:pBdr>
        <w:jc w:val="both"/>
        <w:rPr>
          <w:rFonts w:ascii="Calibri" w:hAnsi="Calibri" w:eastAsia="Calibri" w:cs="Calibri"/>
          <w:color w:val="000000"/>
          <w:sz w:val="20"/>
          <w:szCs w:val="20"/>
        </w:rPr>
      </w:pPr>
      <w:r>
        <w:rPr>
          <w:rFonts w:ascii="Calibri" w:hAnsi="Calibri" w:eastAsia="Calibri" w:cs="Calibri"/>
          <w:b/>
          <w:color w:val="000000"/>
          <w:sz w:val="20"/>
          <w:szCs w:val="20"/>
        </w:rPr>
        <w:t>Results.</w:t>
      </w:r>
      <w:r>
        <w:rPr>
          <w:rFonts w:ascii="Calibri" w:hAnsi="Calibri" w:eastAsia="Calibri" w:cs="Calibri"/>
          <w:color w:val="000000"/>
          <w:sz w:val="20"/>
          <w:szCs w:val="20"/>
        </w:rPr>
        <w:t xml:space="preserve"> </w:t>
      </w:r>
      <w:r>
        <w:rPr>
          <w:rFonts w:ascii="Calibri" w:hAnsi="Calibri" w:eastAsia="Calibri" w:cs="Calibri"/>
          <w:sz w:val="20"/>
          <w:szCs w:val="20"/>
        </w:rPr>
        <w:t xml:space="preserve">Attendees will gain insight from their discussions into the importance of metacognitive processes of evaluation of learning through carefully designed SIM and TBL sessions. Participants will discuss how structured debriefing sessions in SIM promote metacognitive processing, allowing learners to integrate pharmacology concepts and enhance recall. Participants will learn how TBL can promote self-directed and lifelong learning. </w:t>
      </w:r>
    </w:p>
    <w:p w:rsidR="00801FED" w:rsidP="5C41F310" w:rsidRDefault="00203676" w14:paraId="00000008" w14:textId="47607B61">
      <w:pPr>
        <w:pStyle w:val="Normal1"/>
        <w:pBdr>
          <w:top w:val="nil" w:color="000000" w:sz="0" w:space="0"/>
          <w:left w:val="nil" w:color="000000" w:sz="0" w:space="0"/>
          <w:bottom w:val="nil" w:color="000000" w:sz="0" w:space="0"/>
          <w:right w:val="nil" w:color="000000" w:sz="0" w:space="0"/>
          <w:between w:val="nil" w:color="000000" w:sz="0" w:space="0"/>
        </w:pBdr>
        <w:jc w:val="both"/>
        <w:rPr>
          <w:rFonts w:ascii="Calibri" w:hAnsi="Calibri" w:eastAsia="Calibri" w:cs="Calibri"/>
          <w:color w:val="000000"/>
          <w:sz w:val="20"/>
          <w:szCs w:val="20"/>
        </w:rPr>
      </w:pPr>
      <w:r w:rsidRPr="5C41F310" w:rsidR="00203676">
        <w:rPr>
          <w:rFonts w:ascii="Calibri" w:hAnsi="Calibri" w:eastAsia="Calibri" w:cs="Calibri"/>
          <w:b w:val="1"/>
          <w:bCs w:val="1"/>
          <w:color w:val="000000" w:themeColor="text1" w:themeTint="FF" w:themeShade="FF"/>
          <w:sz w:val="20"/>
          <w:szCs w:val="20"/>
        </w:rPr>
        <w:t>Discussion.</w:t>
      </w:r>
      <w:r w:rsidRPr="5C41F310" w:rsidR="00203676">
        <w:rPr>
          <w:rFonts w:ascii="Calibri" w:hAnsi="Calibri" w:eastAsia="Calibri" w:cs="Calibri"/>
          <w:color w:val="000000" w:themeColor="text1" w:themeTint="FF" w:themeShade="FF"/>
          <w:sz w:val="20"/>
          <w:szCs w:val="20"/>
        </w:rPr>
        <w:t xml:space="preserve"> </w:t>
      </w:r>
      <w:r w:rsidRPr="5C41F310" w:rsidR="00203676">
        <w:rPr>
          <w:rFonts w:ascii="Calibri" w:hAnsi="Calibri" w:eastAsia="Calibri" w:cs="Calibri"/>
          <w:sz w:val="20"/>
          <w:szCs w:val="20"/>
        </w:rPr>
        <w:t xml:space="preserve">Participants will gain an understanding of the importance of implementing metacognition into SIM and TBL sessions and be able to apply these principles </w:t>
      </w:r>
      <w:r w:rsidRPr="5C41F310" w:rsidR="00203676">
        <w:rPr>
          <w:rFonts w:ascii="Calibri" w:hAnsi="Calibri" w:eastAsia="Calibri" w:cs="Calibri"/>
          <w:sz w:val="20"/>
          <w:szCs w:val="20"/>
        </w:rPr>
        <w:t>in their</w:t>
      </w:r>
      <w:r w:rsidRPr="5C41F310" w:rsidR="00203676">
        <w:rPr>
          <w:rFonts w:ascii="Calibri" w:hAnsi="Calibri" w:eastAsia="Calibri" w:cs="Calibri"/>
          <w:sz w:val="20"/>
          <w:szCs w:val="20"/>
        </w:rPr>
        <w:t xml:space="preserve"> own educational institutions. </w:t>
      </w:r>
    </w:p>
    <w:p w:rsidR="00801FED" w:rsidRDefault="00203676" w14:paraId="00000009" w14:textId="77777777">
      <w:pPr>
        <w:pStyle w:val="Normal1"/>
        <w:pBdr>
          <w:top w:val="nil"/>
          <w:left w:val="nil"/>
          <w:bottom w:val="nil"/>
          <w:right w:val="nil"/>
          <w:between w:val="nil"/>
        </w:pBdr>
        <w:jc w:val="both"/>
        <w:rPr>
          <w:color w:val="000000"/>
        </w:rPr>
      </w:pPr>
      <w:r>
        <w:rPr>
          <w:rFonts w:ascii="Calibri" w:hAnsi="Calibri" w:eastAsia="Calibri" w:cs="Calibri"/>
          <w:sz w:val="20"/>
          <w:szCs w:val="20"/>
        </w:rPr>
        <w:t>References: Schneid SD et al, 2019, Medical Science Educator 29: 1173 - 1174</w:t>
      </w:r>
    </w:p>
    <w:sectPr w:rsidR="00801FED">
      <w:headerReference w:type="default" r:id="rId10"/>
      <w:footerReference w:type="default" r:id="rId11"/>
      <w:pgSz w:w="11900" w:h="8400" w:orient="landscape"/>
      <w:pgMar w:top="851" w:right="1134" w:bottom="85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03676" w:rsidRDefault="00203676" w14:paraId="0611F0EC" w14:textId="77777777">
      <w:r>
        <w:separator/>
      </w:r>
    </w:p>
  </w:endnote>
  <w:endnote w:type="continuationSeparator" w:id="0">
    <w:p w:rsidR="00203676" w:rsidRDefault="00203676" w14:paraId="2506D6E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w:fontKey="{3EFB1E2A-EC35-45F5-B1A8-11643A1B1AA6}" r:id="rId1"/>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w:fontKey="{6BDDE1C9-C8E3-4B6E-8788-B781C857F4DC}" r:id="rId2"/>
    <w:embedBold w:fontKey="{08A7417A-610B-43F1-8213-D410E94D9711}" r:id="rId3"/>
    <w:embedItalic w:fontKey="{B99D2224-B005-4124-A202-31E3E8AD2A68}" r:id="rId4"/>
  </w:font>
  <w:font w:name="Georgia">
    <w:panose1 w:val="02040502050405020303"/>
    <w:charset w:val="00"/>
    <w:family w:val="roman"/>
    <w:pitch w:val="variable"/>
    <w:sig w:usb0="00000287" w:usb1="00000000" w:usb2="00000000" w:usb3="00000000" w:csb0="0000009F" w:csb1="00000000"/>
    <w:embedRegular w:fontKey="{E7641AF9-8F1E-480F-848B-6172217F7904}" r:id="rId5"/>
    <w:embedItalic w:fontKey="{3ED1410C-E197-4190-81EA-BB634CC187AE}"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01FED" w:rsidRDefault="00801FED" w14:paraId="0000000B" w14:textId="77777777">
    <w:pPr>
      <w:pStyle w:val="Normal1"/>
      <w:pBdr>
        <w:top w:val="nil"/>
        <w:left w:val="nil"/>
        <w:bottom w:val="nil"/>
        <w:right w:val="nil"/>
        <w:between w:val="nil"/>
      </w:pBdr>
      <w:tabs>
        <w:tab w:val="right" w:pos="9020"/>
      </w:tabs>
      <w:rPr>
        <w:rFonts w:ascii="Helvetica Neue" w:hAnsi="Helvetica Neue" w:eastAsia="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03676" w:rsidRDefault="00203676" w14:paraId="19D016C0" w14:textId="77777777">
      <w:r>
        <w:separator/>
      </w:r>
    </w:p>
  </w:footnote>
  <w:footnote w:type="continuationSeparator" w:id="0">
    <w:p w:rsidR="00203676" w:rsidRDefault="00203676" w14:paraId="7688301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01FED" w:rsidRDefault="00801FED" w14:paraId="0000000A" w14:textId="77777777">
    <w:pPr>
      <w:pStyle w:val="Normal1"/>
      <w:pBdr>
        <w:top w:val="nil"/>
        <w:left w:val="nil"/>
        <w:bottom w:val="nil"/>
        <w:right w:val="nil"/>
        <w:between w:val="nil"/>
      </w:pBdr>
      <w:tabs>
        <w:tab w:val="right" w:pos="9020"/>
      </w:tabs>
      <w:rPr>
        <w:rFonts w:ascii="Helvetica Neue" w:hAnsi="Helvetica Neue" w:eastAsia="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FED"/>
    <w:rsid w:val="00203676"/>
    <w:rsid w:val="00453407"/>
    <w:rsid w:val="00801FED"/>
    <w:rsid w:val="5C41F3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73F5CCE"/>
  <w15:docId w15:val="{A15E9882-A5C2-43E5-9F0E-48FCDA79F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0" w:customStyle="1">
    <w:name w:val="Normal0"/>
  </w:style>
  <w:style w:type="table" w:styleId="NormalTable0" w:customStyle="1">
    <w:name w:val="Normal Table0"/>
    <w:tblPr>
      <w:tblCellMar>
        <w:top w:w="0" w:type="dxa"/>
        <w:left w:w="0" w:type="dxa"/>
        <w:bottom w:w="0" w:type="dxa"/>
        <w:right w:w="0" w:type="dxa"/>
      </w:tblCellMar>
    </w:tblPr>
  </w:style>
  <w:style w:type="paragraph" w:styleId="heading10" w:customStyle="1">
    <w:name w:val="heading 10"/>
    <w:basedOn w:val="Normal0"/>
    <w:next w:val="Normal0"/>
    <w:pPr>
      <w:keepNext/>
      <w:keepLines/>
      <w:spacing w:before="480" w:after="120"/>
    </w:pPr>
    <w:rPr>
      <w:b/>
      <w:sz w:val="48"/>
      <w:szCs w:val="48"/>
    </w:rPr>
  </w:style>
  <w:style w:type="paragraph" w:styleId="heading20" w:customStyle="1">
    <w:name w:val="heading 20"/>
    <w:basedOn w:val="Normal0"/>
    <w:next w:val="Normal0"/>
    <w:pPr>
      <w:keepNext/>
      <w:keepLines/>
      <w:spacing w:before="360" w:after="80"/>
    </w:pPr>
    <w:rPr>
      <w:b/>
      <w:sz w:val="36"/>
      <w:szCs w:val="36"/>
    </w:rPr>
  </w:style>
  <w:style w:type="paragraph" w:styleId="heading30" w:customStyle="1">
    <w:name w:val="heading 30"/>
    <w:basedOn w:val="Normal0"/>
    <w:next w:val="Normal0"/>
    <w:pPr>
      <w:keepNext/>
      <w:keepLines/>
      <w:spacing w:before="280" w:after="80"/>
    </w:pPr>
    <w:rPr>
      <w:b/>
      <w:sz w:val="28"/>
      <w:szCs w:val="28"/>
    </w:rPr>
  </w:style>
  <w:style w:type="paragraph" w:styleId="heading40" w:customStyle="1">
    <w:name w:val="heading 40"/>
    <w:basedOn w:val="Normal0"/>
    <w:next w:val="Normal0"/>
    <w:pPr>
      <w:keepNext/>
      <w:keepLines/>
      <w:spacing w:before="240" w:after="40"/>
    </w:pPr>
    <w:rPr>
      <w:b/>
    </w:rPr>
  </w:style>
  <w:style w:type="paragraph" w:styleId="heading50" w:customStyle="1">
    <w:name w:val="heading 50"/>
    <w:basedOn w:val="Normal0"/>
    <w:next w:val="Normal0"/>
    <w:pPr>
      <w:keepNext/>
      <w:keepLines/>
      <w:spacing w:before="220" w:after="40"/>
    </w:pPr>
    <w:rPr>
      <w:b/>
      <w:sz w:val="22"/>
      <w:szCs w:val="22"/>
    </w:rPr>
  </w:style>
  <w:style w:type="paragraph" w:styleId="heading60" w:customStyle="1">
    <w:name w:val="heading 60"/>
    <w:basedOn w:val="Normal0"/>
    <w:next w:val="Normal0"/>
    <w:pPr>
      <w:keepNext/>
      <w:keepLines/>
      <w:spacing w:before="200" w:after="40"/>
    </w:pPr>
    <w:rPr>
      <w:b/>
      <w:sz w:val="20"/>
      <w:szCs w:val="20"/>
    </w:rPr>
  </w:style>
  <w:style w:type="paragraph" w:styleId="Title0" w:customStyle="1">
    <w:name w:val="Title0"/>
    <w:basedOn w:val="Normal0"/>
    <w:next w:val="Normal0"/>
    <w:pPr>
      <w:keepNext/>
      <w:keepLines/>
      <w:spacing w:before="480" w:after="120"/>
    </w:pPr>
    <w:rPr>
      <w:b/>
      <w:sz w:val="72"/>
      <w:szCs w:val="72"/>
    </w:rPr>
  </w:style>
  <w:style w:type="paragraph" w:styleId="Normal1" w:customStyle="1">
    <w:name w:val="Normal1"/>
    <w:next w:val="Normal0"/>
    <w:rPr>
      <w:lang w:eastAsia="en-US"/>
    </w:rPr>
  </w:style>
  <w:style w:type="character" w:styleId="Hyperlink">
    <w:name w:val="Hyperlink"/>
    <w:rPr>
      <w:u w:val="single"/>
    </w:rPr>
  </w:style>
  <w:style w:type="paragraph" w:styleId="HeaderFooter" w:customStyle="1">
    <w:name w:val="Header &amp; Footer"/>
    <w:pPr>
      <w:tabs>
        <w:tab w:val="right" w:pos="9020"/>
      </w:tabs>
    </w:pPr>
    <w:rPr>
      <w:rFonts w:ascii="Helvetica Neue" w:hAnsi="Helvetica Neue" w:eastAsia="Arial Unicode MS" w:cs="Arial Unicode MS"/>
      <w:color w:val="000000"/>
      <w14:textOutline w14:w="0" w14:cap="flat" w14:cmpd="sng" w14:algn="ctr">
        <w14:noFill/>
        <w14:prstDash w14:val="solid"/>
        <w14:bevel/>
      </w14:textOutline>
    </w:rPr>
  </w:style>
  <w:style w:type="paragraph" w:styleId="Normal2" w:customStyle="1">
    <w:name w:val="Normal2"/>
    <w:rPr>
      <w:rFonts w:eastAsia="Arial Unicode MS" w:cs="Arial Unicode MS"/>
      <w:color w:val="000000"/>
      <w:u w:color="000000"/>
      <w14:textOutline w14:w="0" w14:cap="flat" w14:cmpd="sng" w14:algn="ctr">
        <w14:noFill/>
        <w14:prstDash w14:val="solid"/>
        <w14:bevel/>
      </w14:textOutline>
    </w:rPr>
  </w:style>
  <w:style w:type="paragraph" w:styleId="Default" w:customStyle="1">
    <w:name w:val="Default"/>
    <w:pPr>
      <w:widowControl w:val="0"/>
    </w:pPr>
    <w:rPr>
      <w:rFonts w:ascii="Calibri" w:hAnsi="Calibri" w:eastAsia="Calibri" w:cs="Calibri"/>
      <w:color w:val="000000"/>
      <w:u w:color="000000"/>
      <w14:textOutline w14:w="0" w14:cap="flat" w14:cmpd="sng" w14:algn="ctr">
        <w14:noFill/>
        <w14:prstDash w14:val="solid"/>
        <w14:bevel/>
      </w14:textOutline>
    </w:rPr>
  </w:style>
  <w:style w:type="character" w:styleId="Link" w:customStyle="1">
    <w:name w:val="Link"/>
    <w:rPr>
      <w:outline w:val="0"/>
      <w:color w:val="0563C1"/>
      <w:u w:val="single" w:color="0563C1"/>
    </w:rPr>
  </w:style>
  <w:style w:type="character" w:styleId="Hyperlink0" w:customStyle="1">
    <w:name w:val="Hyperlink.0"/>
    <w:basedOn w:val="Link"/>
    <w:rPr>
      <w:rFonts w:ascii="Calibri" w:hAnsi="Calibri" w:eastAsia="Calibri" w:cs="Calibri"/>
      <w:outline w:val="0"/>
      <w:color w:val="0563C1"/>
      <w:sz w:val="20"/>
      <w:szCs w:val="20"/>
      <w:u w:val="single" w:color="0563C1"/>
    </w:rPr>
  </w:style>
  <w:style w:type="paragraph" w:styleId="Subtitle">
    <w:name w:val="Subtitle"/>
    <w:basedOn w:val="Normal1"/>
    <w:next w:val="Normal1"/>
    <w:uiPriority w:val="11"/>
    <w:qFormat/>
    <w:pPr>
      <w:keepNext/>
      <w:keepLines/>
      <w:spacing w:before="360" w:after="80"/>
    </w:pPr>
    <w:rPr>
      <w:rFonts w:ascii="Georgia" w:hAnsi="Georgia" w:eastAsia="Georgia" w:cs="Georgia"/>
      <w:i/>
      <w:color w:val="666666"/>
      <w:sz w:val="48"/>
      <w:szCs w:val="48"/>
    </w:rPr>
  </w:style>
  <w:style w:type="paragraph" w:styleId="Subtitle0" w:customStyle="1">
    <w:name w:val="Subtitle0"/>
    <w:basedOn w:val="Normal1"/>
    <w:next w:val="Normal1"/>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customXml" Target="../customXml/item4.xml" Id="rId4" /><Relationship Type="http://schemas.openxmlformats.org/officeDocument/2006/relationships/endnotes" Target="endnotes.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C054142C5B5D4B8C99E9FB10779CAB" ma:contentTypeVersion="18" ma:contentTypeDescription="Create a new document." ma:contentTypeScope="" ma:versionID="82fa6b8bbe5aa1e5a147898ce11eee45">
  <xsd:schema xmlns:xsd="http://www.w3.org/2001/XMLSchema" xmlns:xs="http://www.w3.org/2001/XMLSchema" xmlns:p="http://schemas.microsoft.com/office/2006/metadata/properties" xmlns:ns2="4a84e3ec-4587-4418-b23a-bd5009477010" xmlns:ns3="79faf93c-7b46-4b26-8966-6d698e8b4062" targetNamespace="http://schemas.microsoft.com/office/2006/metadata/properties" ma:root="true" ma:fieldsID="4aa8403be6c3a7d49ea4b008b126b62c" ns2:_="" ns3:_="">
    <xsd:import namespace="4a84e3ec-4587-4418-b23a-bd5009477010"/>
    <xsd:import namespace="79faf93c-7b46-4b26-8966-6d698e8b40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84e3ec-4587-4418-b23a-bd50094770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d0f5a8-1cae-497c-8626-323dd4f94b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af93c-7b46-4b26-8966-6d698e8b40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2c48bb7-3aca-46f5-8d8e-a282f3998c12}" ma:internalName="TaxCatchAll" ma:showField="CatchAllData" ma:web="79faf93c-7b46-4b26-8966-6d698e8b40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EFROkkcRDGEJS9Vrcm+QuaTblw==">CgMxLjA4AHIhMTREWFZUVXNzYjlIWVB1bWZNLXAxbGN3dUpyS1N5M2pJ</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a84e3ec-4587-4418-b23a-bd5009477010">
      <Terms xmlns="http://schemas.microsoft.com/office/infopath/2007/PartnerControls"/>
    </lcf76f155ced4ddcb4097134ff3c332f>
    <TaxCatchAll xmlns="79faf93c-7b46-4b26-8966-6d698e8b406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77A468-BA77-4BF9-9079-0D35E164AF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84e3ec-4587-4418-b23a-bd5009477010"/>
    <ds:schemaRef ds:uri="79faf93c-7b46-4b26-8966-6d698e8b40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15943795-06FA-490D-B0BE-20DF211A1DFE}">
  <ds:schemaRefs>
    <ds:schemaRef ds:uri="http://schemas.microsoft.com/office/2006/metadata/properties"/>
    <ds:schemaRef ds:uri="http://schemas.microsoft.com/office/infopath/2007/PartnerControls"/>
    <ds:schemaRef ds:uri="4a84e3ec-4587-4418-b23a-bd5009477010"/>
    <ds:schemaRef ds:uri="79faf93c-7b46-4b26-8966-6d698e8b4062"/>
  </ds:schemaRefs>
</ds:datastoreItem>
</file>

<file path=customXml/itemProps4.xml><?xml version="1.0" encoding="utf-8"?>
<ds:datastoreItem xmlns:ds="http://schemas.openxmlformats.org/officeDocument/2006/customXml" ds:itemID="{6991D6F7-54D9-4DAC-B437-5E2162FF132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Ross McKinnon</cp:lastModifiedBy>
  <cp:revision>2</cp:revision>
  <dcterms:created xsi:type="dcterms:W3CDTF">2025-06-05T04:22:00Z</dcterms:created>
  <dcterms:modified xsi:type="dcterms:W3CDTF">2025-06-05T04:22:21Z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0x01010004C054142C5B5D4B8C99E9FB10779CAB</vt:lpwstr>
  </property>
  <property fmtid="{D5CDD505-2E9C-101B-9397-08002B2CF9AE}" pid="3" name="MediaServiceImageTags">
    <vt:lpwstr/>
  </property>
</Properties>
</file>