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F1B9">
      <w:pPr>
        <w:spacing w:after="0" w:line="240" w:lineRule="auto"/>
        <w:jc w:val="center"/>
        <w:rPr>
          <w:rFonts w:ascii="Arial" w:hAnsi="Arial" w:eastAsia="等线" w:cs="Calibri"/>
          <w:b/>
          <w:bCs/>
          <w:kern w:val="0"/>
          <w:lang w:val="en-US" w:eastAsia="zh-CN"/>
          <w14:ligatures w14:val="none"/>
        </w:rPr>
      </w:pPr>
      <w:r>
        <w:rPr>
          <w:rFonts w:ascii="Arial" w:hAnsi="Arial" w:eastAsia="Calibri" w:cs="Calibri"/>
          <w:b/>
          <w:bCs/>
          <w:kern w:val="0"/>
          <w:lang w:val="en-US"/>
          <w14:ligatures w14:val="none"/>
        </w:rPr>
        <w:t xml:space="preserve">Arginase-1 </w:t>
      </w:r>
      <w:r>
        <w:rPr>
          <w:rFonts w:hint="eastAsia" w:ascii="Arial" w:hAnsi="Arial" w:eastAsia="等线" w:cs="Calibri"/>
          <w:b/>
          <w:bCs/>
          <w:kern w:val="0"/>
          <w:lang w:val="en-US" w:eastAsia="zh-CN"/>
          <w14:ligatures w14:val="none"/>
        </w:rPr>
        <w:t>R</w:t>
      </w:r>
      <w:r>
        <w:rPr>
          <w:rFonts w:ascii="Arial" w:hAnsi="Arial" w:eastAsia="Calibri" w:cs="Calibri"/>
          <w:b/>
          <w:bCs/>
          <w:kern w:val="0"/>
          <w:lang w:val="en-US"/>
          <w14:ligatures w14:val="none"/>
        </w:rPr>
        <w:t xml:space="preserve">esponsive </w:t>
      </w:r>
      <w:r>
        <w:rPr>
          <w:rFonts w:hint="eastAsia" w:ascii="Arial" w:hAnsi="Arial" w:eastAsia="等线" w:cs="Calibri"/>
          <w:b/>
          <w:bCs/>
          <w:kern w:val="0"/>
          <w:lang w:val="en-US" w:eastAsia="zh-CN"/>
          <w14:ligatures w14:val="none"/>
        </w:rPr>
        <w:t>L</w:t>
      </w:r>
      <w:r>
        <w:rPr>
          <w:rFonts w:ascii="Arial" w:hAnsi="Arial" w:eastAsia="Calibri" w:cs="Calibri"/>
          <w:b/>
          <w:bCs/>
          <w:kern w:val="0"/>
          <w:lang w:val="en-US"/>
          <w14:ligatures w14:val="none"/>
        </w:rPr>
        <w:t xml:space="preserve">ipid </w:t>
      </w:r>
      <w:r>
        <w:rPr>
          <w:rFonts w:hint="eastAsia" w:ascii="Arial" w:hAnsi="Arial" w:eastAsia="等线" w:cs="Calibri"/>
          <w:b/>
          <w:bCs/>
          <w:kern w:val="0"/>
          <w:lang w:val="en-US" w:eastAsia="zh-CN"/>
          <w14:ligatures w14:val="none"/>
        </w:rPr>
        <w:t>N</w:t>
      </w:r>
      <w:r>
        <w:rPr>
          <w:rFonts w:ascii="Arial" w:hAnsi="Arial" w:eastAsia="Calibri" w:cs="Calibri"/>
          <w:b/>
          <w:bCs/>
          <w:kern w:val="0"/>
          <w:lang w:val="en-US"/>
          <w14:ligatures w14:val="none"/>
        </w:rPr>
        <w:t xml:space="preserve">anoparticles </w:t>
      </w:r>
      <w:r>
        <w:rPr>
          <w:rFonts w:hint="eastAsia" w:ascii="Arial" w:hAnsi="Arial" w:eastAsia="等线" w:cs="Calibri"/>
          <w:b/>
          <w:bCs/>
          <w:kern w:val="0"/>
          <w:lang w:val="en-US" w:eastAsia="zh-CN"/>
          <w14:ligatures w14:val="none"/>
        </w:rPr>
        <w:t>F</w:t>
      </w:r>
      <w:r>
        <w:rPr>
          <w:rFonts w:ascii="Arial" w:hAnsi="Arial" w:eastAsia="Calibri" w:cs="Calibri"/>
          <w:b/>
          <w:bCs/>
          <w:kern w:val="0"/>
          <w:lang w:val="en-US"/>
          <w14:ligatures w14:val="none"/>
        </w:rPr>
        <w:t xml:space="preserve">or TNF-α-siRNA </w:t>
      </w:r>
      <w:r>
        <w:rPr>
          <w:rFonts w:hint="eastAsia" w:ascii="Arial" w:hAnsi="Arial" w:eastAsia="等线" w:cs="Calibri"/>
          <w:b/>
          <w:bCs/>
          <w:kern w:val="0"/>
          <w:lang w:val="en-US" w:eastAsia="zh-CN"/>
          <w14:ligatures w14:val="none"/>
        </w:rPr>
        <w:t>D</w:t>
      </w:r>
      <w:r>
        <w:rPr>
          <w:rFonts w:ascii="Arial" w:hAnsi="Arial" w:eastAsia="Calibri" w:cs="Calibri"/>
          <w:b/>
          <w:bCs/>
          <w:kern w:val="0"/>
          <w:lang w:val="en-US"/>
          <w14:ligatures w14:val="none"/>
        </w:rPr>
        <w:t xml:space="preserve">elivery </w:t>
      </w:r>
      <w:r>
        <w:rPr>
          <w:rFonts w:hint="eastAsia" w:ascii="Arial" w:hAnsi="Arial" w:eastAsia="等线" w:cs="Calibri"/>
          <w:b/>
          <w:bCs/>
          <w:kern w:val="0"/>
          <w:lang w:val="en-US" w:eastAsia="zh-CN"/>
          <w14:ligatures w14:val="none"/>
        </w:rPr>
        <w:t>T</w:t>
      </w:r>
      <w:r>
        <w:rPr>
          <w:rFonts w:ascii="Arial" w:hAnsi="Arial" w:eastAsia="Calibri" w:cs="Calibri"/>
          <w:b/>
          <w:bCs/>
          <w:kern w:val="0"/>
          <w:lang w:val="en-US"/>
          <w14:ligatures w14:val="none"/>
        </w:rPr>
        <w:t xml:space="preserve">o </w:t>
      </w:r>
      <w:r>
        <w:rPr>
          <w:rFonts w:hint="eastAsia" w:ascii="Arial" w:hAnsi="Arial" w:eastAsia="等线" w:cs="Calibri"/>
          <w:b/>
          <w:bCs/>
          <w:kern w:val="0"/>
          <w:lang w:val="en-US" w:eastAsia="zh-CN"/>
          <w14:ligatures w14:val="none"/>
        </w:rPr>
        <w:t>A</w:t>
      </w:r>
      <w:r>
        <w:rPr>
          <w:rFonts w:ascii="Arial" w:hAnsi="Arial" w:eastAsia="Calibri" w:cs="Calibri"/>
          <w:b/>
          <w:bCs/>
          <w:kern w:val="0"/>
          <w:lang w:val="en-US"/>
          <w14:ligatures w14:val="none"/>
        </w:rPr>
        <w:t xml:space="preserve">lleviate </w:t>
      </w:r>
      <w:r>
        <w:rPr>
          <w:rFonts w:hint="eastAsia" w:ascii="Arial" w:hAnsi="Arial" w:eastAsia="等线" w:cs="Calibri"/>
          <w:b/>
          <w:bCs/>
          <w:kern w:val="0"/>
          <w:lang w:val="en-US" w:eastAsia="zh-CN"/>
          <w14:ligatures w14:val="none"/>
        </w:rPr>
        <w:t>C</w:t>
      </w:r>
      <w:r>
        <w:rPr>
          <w:rFonts w:ascii="Arial" w:hAnsi="Arial" w:eastAsia="Calibri" w:cs="Calibri"/>
          <w:b/>
          <w:bCs/>
          <w:kern w:val="0"/>
          <w:lang w:val="en-US"/>
          <w14:ligatures w14:val="none"/>
        </w:rPr>
        <w:t>olitis</w:t>
      </w:r>
    </w:p>
    <w:p w14:paraId="79141BD9">
      <w:pPr>
        <w:spacing w:after="0" w:line="240" w:lineRule="auto"/>
        <w:jc w:val="center"/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</w:pPr>
      <w:r>
        <w:rPr>
          <w:rFonts w:hint="eastAsia" w:ascii="Arial" w:hAnsi="Arial" w:eastAsia="等线" w:cs="Calibri"/>
          <w:b/>
          <w:kern w:val="0"/>
          <w:sz w:val="20"/>
          <w:szCs w:val="20"/>
          <w:u w:val="single"/>
          <w:lang w:eastAsia="zh-CN"/>
          <w14:ligatures w14:val="none"/>
        </w:rPr>
        <w:t>Yawen Yao</w:t>
      </w:r>
      <w:r>
        <w:rPr>
          <w:rFonts w:hint="eastAsia" w:ascii="Arial" w:hAnsi="Arial" w:eastAsia="等线" w:cs="Calibri"/>
          <w:b/>
          <w:kern w:val="0"/>
          <w:sz w:val="20"/>
          <w:szCs w:val="20"/>
          <w:u w:val="single"/>
          <w:vertAlign w:val="superscript"/>
          <w:lang w:eastAsia="zh-CN"/>
          <w14:ligatures w14:val="none"/>
        </w:rPr>
        <w:t>1,2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hint="eastAsia"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  <w:t>Cuihua Zhang</w:t>
      </w:r>
      <w:r>
        <w:rPr>
          <w:rFonts w:hint="eastAsia" w:ascii="Arial" w:hAnsi="Arial" w:eastAsia="等线" w:cs="Calibri"/>
          <w:bCs/>
          <w:kern w:val="0"/>
          <w:sz w:val="20"/>
          <w:szCs w:val="20"/>
          <w:vertAlign w:val="superscript"/>
          <w:lang w:eastAsia="zh-CN"/>
          <w14:ligatures w14:val="none"/>
        </w:rPr>
        <w:t>2</w:t>
      </w:r>
      <w:r>
        <w:rPr>
          <w:rFonts w:hint="eastAsia"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  <w:t>, Wei Xiong</w:t>
      </w:r>
      <w:r>
        <w:rPr>
          <w:rFonts w:hint="eastAsia" w:ascii="Arial" w:hAnsi="Arial" w:eastAsia="等线" w:cs="Calibri"/>
          <w:bCs/>
          <w:kern w:val="0"/>
          <w:sz w:val="20"/>
          <w:szCs w:val="20"/>
          <w:vertAlign w:val="superscript"/>
          <w:lang w:eastAsia="zh-CN"/>
          <w14:ligatures w14:val="none"/>
        </w:rPr>
        <w:t>2,</w:t>
      </w:r>
      <w:r>
        <w:rPr>
          <w:rFonts w:ascii="Times New Roman" w:hAnsi="Times New Roman" w:eastAsia="等线" w:cs="Times New Roman"/>
          <w:bCs/>
          <w:kern w:val="0"/>
          <w:sz w:val="20"/>
          <w:szCs w:val="20"/>
          <w:lang w:eastAsia="zh-CN"/>
          <w14:ligatures w14:val="none"/>
        </w:rPr>
        <w:t>*</w:t>
      </w:r>
      <w:r>
        <w:rPr>
          <w:rFonts w:hint="eastAsia"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  <w:t>, Hua Yu</w:t>
      </w:r>
      <w:r>
        <w:rPr>
          <w:rFonts w:hint="eastAsia" w:ascii="Arial" w:hAnsi="Arial" w:eastAsia="等线" w:cs="Calibri"/>
          <w:bCs/>
          <w:kern w:val="0"/>
          <w:sz w:val="20"/>
          <w:szCs w:val="20"/>
          <w:vertAlign w:val="superscript"/>
          <w:lang w:eastAsia="zh-CN"/>
          <w14:ligatures w14:val="none"/>
        </w:rPr>
        <w:t>1,</w:t>
      </w:r>
      <w:r>
        <w:rPr>
          <w:rFonts w:ascii="Times New Roman" w:hAnsi="Times New Roman" w:eastAsia="等线" w:cs="Times New Roman"/>
          <w:bCs/>
          <w:kern w:val="0"/>
          <w:sz w:val="20"/>
          <w:szCs w:val="20"/>
          <w:lang w:eastAsia="zh-CN"/>
          <w14:ligatures w14:val="none"/>
        </w:rPr>
        <w:t>*</w:t>
      </w:r>
    </w:p>
    <w:p w14:paraId="137D4547">
      <w:pPr>
        <w:spacing w:after="0" w:line="240" w:lineRule="auto"/>
        <w:jc w:val="both"/>
        <w:rPr>
          <w:rFonts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</w:pPr>
      <w:r>
        <w:rPr>
          <w:rFonts w:hint="eastAsia" w:ascii="Arial" w:hAnsi="Arial" w:eastAsia="等线" w:cs="Calibri"/>
          <w:bCs/>
          <w:kern w:val="0"/>
          <w:sz w:val="20"/>
          <w:szCs w:val="20"/>
          <w:vertAlign w:val="superscript"/>
          <w:lang w:eastAsia="zh-CN"/>
          <w14:ligatures w14:val="none"/>
        </w:rPr>
        <w:t>1</w:t>
      </w:r>
      <w:r>
        <w:rPr>
          <w:rFonts w:hint="eastAsia"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  <w:t xml:space="preserve"> </w:t>
      </w:r>
      <w:r>
        <w:rPr>
          <w:rFonts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  <w:t>Institute of Chinese Medical Sciences, State Key Laboratory of Quality Research in Chinese Medicine, University of Macau, Macao SAR, China</w:t>
      </w:r>
      <w:r>
        <w:rPr>
          <w:rFonts w:hint="eastAsia"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  <w:t>;</w:t>
      </w:r>
    </w:p>
    <w:p w14:paraId="2A0FC06F">
      <w:pPr>
        <w:spacing w:after="0" w:line="240" w:lineRule="auto"/>
        <w:jc w:val="both"/>
        <w:rPr>
          <w:rFonts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</w:pPr>
      <w:r>
        <w:rPr>
          <w:rFonts w:hint="eastAsia" w:ascii="Arial" w:hAnsi="Arial" w:eastAsia="等线" w:cs="Calibri"/>
          <w:bCs/>
          <w:kern w:val="0"/>
          <w:sz w:val="20"/>
          <w:szCs w:val="20"/>
          <w:vertAlign w:val="superscript"/>
          <w:lang w:eastAsia="zh-CN"/>
          <w14:ligatures w14:val="none"/>
        </w:rPr>
        <w:t>2</w:t>
      </w:r>
      <w:r>
        <w:rPr>
          <w:rFonts w:hint="eastAsia"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  <w:t xml:space="preserve">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School of Pharmacy, Shenzhen University Medical School, Shenzhen University, Shenzhen 518055, China</w:t>
      </w:r>
      <w:r>
        <w:rPr>
          <w:rFonts w:hint="eastAsia"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  <w:t>.</w:t>
      </w:r>
    </w:p>
    <w:p w14:paraId="47D76891">
      <w:pPr>
        <w:spacing w:after="0" w:line="240" w:lineRule="auto"/>
        <w:jc w:val="both"/>
        <w:rPr>
          <w:rFonts w:ascii="Arial" w:hAnsi="Arial" w:eastAsia="Calibri" w:cs="Calibri"/>
          <w:bCs/>
          <w:kern w:val="0"/>
          <w:sz w:val="20"/>
          <w:szCs w:val="20"/>
          <w:lang w:val="pt-PT"/>
          <w14:ligatures w14:val="none"/>
        </w:rPr>
      </w:pPr>
      <w:r>
        <w:rPr>
          <w:rFonts w:ascii="Times New Roman" w:hAnsi="Times New Roman" w:eastAsia="Calibri" w:cs="Times New Roman"/>
          <w:bCs/>
          <w:kern w:val="0"/>
          <w:sz w:val="20"/>
          <w:szCs w:val="20"/>
          <w:lang w:val="pt-PT"/>
          <w14:ligatures w14:val="none"/>
        </w:rPr>
        <w:t>*</w:t>
      </w:r>
      <w:r>
        <w:rPr>
          <w:rFonts w:ascii="Arial" w:hAnsi="Arial" w:eastAsia="Calibri" w:cs="Calibri"/>
          <w:bCs/>
          <w:kern w:val="0"/>
          <w:sz w:val="20"/>
          <w:szCs w:val="20"/>
          <w:lang w:val="pt-PT"/>
          <w14:ligatures w14:val="none"/>
        </w:rPr>
        <w:t xml:space="preserve"> Hua Yu (E-mail: bcalecyu@um.edu.mo). </w:t>
      </w:r>
    </w:p>
    <w:p w14:paraId="2DD37039">
      <w:pPr>
        <w:spacing w:after="0" w:line="240" w:lineRule="auto"/>
        <w:rPr>
          <w:rFonts w:ascii="Arial" w:hAnsi="Arial" w:eastAsia="Calibri" w:cs="Calibri"/>
          <w:bCs/>
          <w:kern w:val="0"/>
          <w:sz w:val="20"/>
          <w:szCs w:val="20"/>
          <w:lang w:val="pt-PT"/>
          <w14:ligatures w14:val="none"/>
        </w:rPr>
      </w:pPr>
      <w:r>
        <w:rPr>
          <w:rFonts w:ascii="Arial" w:hAnsi="Arial" w:eastAsia="Calibri" w:cs="Calibri"/>
          <w:bCs/>
          <w:i/>
          <w:kern w:val="0"/>
          <w:sz w:val="20"/>
          <w:szCs w:val="20"/>
          <w:lang w:val="pt-PT"/>
          <w14:ligatures w14:val="none"/>
        </w:rPr>
        <w:t xml:space="preserve"> </w:t>
      </w:r>
    </w:p>
    <w:p w14:paraId="15D93483">
      <w:pPr>
        <w:spacing w:after="0" w:line="240" w:lineRule="auto"/>
        <w:jc w:val="both"/>
        <w:rPr>
          <w:rFonts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</w:pPr>
      <w:r>
        <w:rPr>
          <w:rFonts w:ascii="Arial" w:hAnsi="Arial" w:eastAsia="Calibri" w:cs="Calibri"/>
          <w:b/>
          <w:kern w:val="0"/>
          <w:sz w:val="20"/>
          <w:szCs w:val="20"/>
          <w14:ligatures w14:val="none"/>
        </w:rPr>
        <w:t>Background and aims.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  <w:t>Oral delivery of small interfering RNA (siRNA) remains a major challenge in therapeutic applications due to rapid degradation in the harsh gastrointestinal (GI) environment. Developing a robust delivery system to protect siRNA from enzymatic degradation and ensure its effective intracellular release is critical for clinical translation. Ulcerative colitis (UC), characterized by elevated arginase 1 (Arg1) expression at inflamed colonic sites, presents a unique opportunity for targeted therapy. This study aims to design Arg1-responsive lipid nanoparticles (siRNA-LANPs) using L-arginine-conjugated chitosan (ACS) to achieve tumor necrosis factor-alpha (TNF-α) silencing for UC treatment.</w:t>
      </w:r>
      <w:r>
        <w:rPr>
          <w:rFonts w:hint="eastAsia"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  <w:t xml:space="preserve"> </w:t>
      </w:r>
    </w:p>
    <w:p w14:paraId="0085DDC1">
      <w:pPr>
        <w:spacing w:after="0" w:line="240" w:lineRule="auto"/>
        <w:jc w:val="both"/>
        <w:rPr>
          <w:rFonts w:ascii="Arial" w:hAnsi="Arial" w:eastAsia="等线" w:cs="Calibri"/>
          <w:b/>
          <w:kern w:val="0"/>
          <w:sz w:val="20"/>
          <w:szCs w:val="20"/>
          <w:lang w:eastAsia="zh-CN"/>
          <w14:ligatures w14:val="none"/>
        </w:rPr>
      </w:pPr>
    </w:p>
    <w:p w14:paraId="48C0479A">
      <w:pPr>
        <w:spacing w:after="0" w:line="240" w:lineRule="auto"/>
        <w:jc w:val="both"/>
        <w:rPr>
          <w:rFonts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</w:pPr>
      <w:r>
        <w:rPr>
          <w:rFonts w:ascii="Arial" w:hAnsi="Arial" w:eastAsia="Calibri" w:cs="Calibri"/>
          <w:b/>
          <w:kern w:val="0"/>
          <w:sz w:val="20"/>
          <w:szCs w:val="20"/>
          <w14:ligatures w14:val="none"/>
        </w:rPr>
        <w:t>Methods.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 siRNA-LANPs were </w:t>
      </w:r>
      <w:r>
        <w:rPr>
          <w:rFonts w:hint="eastAsia"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  <w:t>developed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 by conjugating ACS with lipid components to enable Arg1-responsive siRNA release. The </w:t>
      </w:r>
      <w:r>
        <w:rPr>
          <w:rFonts w:hint="eastAsia"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  <w:t xml:space="preserve">release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kinetics </w:t>
      </w:r>
      <w:r>
        <w:rPr>
          <w:rFonts w:hint="eastAsia"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  <w:t xml:space="preserve">of </w:t>
      </w:r>
      <w:r>
        <w:rPr>
          <w:rFonts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  <w:t xml:space="preserve">siRNA-LANPs 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>were evaluated in Arg1-enriched buffer (1 U/mL). Structural integrity and siRNA bioactivity were assessed after 12-hour exposure to simulated GI fluids. Lysosomal escape efficiency and TNF-α silencing capability were analy</w:t>
      </w:r>
      <w:r>
        <w:rPr>
          <w:rFonts w:hint="eastAsia"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  <w:t>s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ed </w:t>
      </w:r>
      <w:r>
        <w:rPr>
          <w:rFonts w:ascii="Arial" w:hAnsi="Arial" w:eastAsia="Calibri" w:cs="Calibri"/>
          <w:bCs/>
          <w:i/>
          <w:iCs/>
          <w:kern w:val="0"/>
          <w:sz w:val="20"/>
          <w:szCs w:val="20"/>
          <w14:ligatures w14:val="none"/>
        </w:rPr>
        <w:t>in vitro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 using macrophages, with Lipo3000 transfection reagent as a </w:t>
      </w:r>
      <w:r>
        <w:rPr>
          <w:rFonts w:hint="eastAsia"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  <w:t>positive control group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. For </w:t>
      </w:r>
      <w:r>
        <w:rPr>
          <w:rFonts w:ascii="Arial" w:hAnsi="Arial" w:eastAsia="Calibri" w:cs="Calibri"/>
          <w:bCs/>
          <w:i/>
          <w:iCs/>
          <w:kern w:val="0"/>
          <w:sz w:val="20"/>
          <w:szCs w:val="20"/>
          <w14:ligatures w14:val="none"/>
        </w:rPr>
        <w:t>in vivo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 validation, dextran sulfate sodium salt (DSS)-induced colitis mice were treated with siRNA-LANPs, and therapeutic outcomes were compared with sulfasalazine, a first-line UC drug. </w:t>
      </w:r>
    </w:p>
    <w:p w14:paraId="1387B9C3">
      <w:pPr>
        <w:spacing w:after="0" w:line="240" w:lineRule="auto"/>
        <w:jc w:val="both"/>
        <w:rPr>
          <w:rFonts w:ascii="Calibri" w:hAnsi="Calibri" w:eastAsia="Calibri" w:cs="Times New Roman"/>
          <w:b/>
          <w:bCs/>
          <w:kern w:val="0"/>
          <w:lang w:val="en-GB"/>
          <w14:ligatures w14:val="none"/>
        </w:rPr>
      </w:pPr>
    </w:p>
    <w:p w14:paraId="58EE2702">
      <w:pPr>
        <w:spacing w:after="0" w:line="240" w:lineRule="auto"/>
        <w:jc w:val="both"/>
        <w:rPr>
          <w:rFonts w:ascii="Arial" w:hAnsi="Arial" w:eastAsia="等线" w:cs="Calibri"/>
          <w:kern w:val="0"/>
          <w:sz w:val="20"/>
          <w:szCs w:val="20"/>
          <w:lang w:val="en-US" w:eastAsia="zh-CN"/>
          <w14:ligatures w14:val="none"/>
        </w:rPr>
      </w:pPr>
      <w:r>
        <w:rPr>
          <w:rFonts w:ascii="Arial" w:hAnsi="Arial" w:eastAsia="Calibri" w:cs="Calibri"/>
          <w:b/>
          <w:bCs/>
          <w:kern w:val="0"/>
          <w:sz w:val="20"/>
          <w:szCs w:val="20"/>
          <w14:ligatures w14:val="none"/>
        </w:rPr>
        <w:t>Results.</w:t>
      </w:r>
      <w:r>
        <w:rPr>
          <w:rFonts w:ascii="Calibri" w:hAnsi="Calibri" w:eastAsia="Calibri" w:cs="Times New Roman"/>
          <w:kern w:val="0"/>
          <w:lang w:val="en-GB"/>
          <w14:ligatures w14:val="none"/>
        </w:rPr>
        <w:t xml:space="preserve"> </w:t>
      </w:r>
      <w:r>
        <w:rPr>
          <w:rFonts w:ascii="Arial" w:hAnsi="Arial" w:eastAsia="Calibri" w:cs="Calibri"/>
          <w:kern w:val="0"/>
          <w:sz w:val="20"/>
          <w:szCs w:val="20"/>
          <w:lang w:val="en-US"/>
          <w14:ligatures w14:val="none"/>
        </w:rPr>
        <w:t xml:space="preserve">The Arg1-responsive design enabled rapid siRNA release, with 61.30% cumulative release within 2 h. siRNA-LANPs retained 76.3% structural integrity and 72.3% siRNA bioactivity post-GI fluid exposure. The nanoparticles achieved 29.7% lysosomal escape efficiency, leading to 55.4% TNF-α silencing </w:t>
      </w:r>
      <w:r>
        <w:rPr>
          <w:rFonts w:ascii="Arial" w:hAnsi="Arial" w:eastAsia="Calibri" w:cs="Calibri"/>
          <w:i/>
          <w:iCs/>
          <w:kern w:val="0"/>
          <w:sz w:val="20"/>
          <w:szCs w:val="20"/>
          <w:lang w:val="en-US"/>
          <w14:ligatures w14:val="none"/>
        </w:rPr>
        <w:t>in vitro</w:t>
      </w:r>
      <w:r>
        <w:rPr>
          <w:rFonts w:ascii="Arial" w:hAnsi="Arial" w:eastAsia="Calibri" w:cs="Calibri"/>
          <w:kern w:val="0"/>
          <w:sz w:val="20"/>
          <w:szCs w:val="20"/>
          <w:lang w:val="en-US"/>
          <w14:ligatures w14:val="none"/>
        </w:rPr>
        <w:t>, comparable to Lipo3000 (58.0%). In DSS-induced colitis mice, siRNA-LANPs outperformed sulfasalazine, significantly reducing disease severity through TNF-α suppression.</w:t>
      </w:r>
      <w:r>
        <w:rPr>
          <w:rFonts w:hint="eastAsia" w:ascii="Arial" w:hAnsi="Arial" w:eastAsia="等线" w:cs="Calibri"/>
          <w:kern w:val="0"/>
          <w:sz w:val="20"/>
          <w:szCs w:val="20"/>
          <w:lang w:val="en-US" w:eastAsia="zh-CN"/>
          <w14:ligatures w14:val="none"/>
        </w:rPr>
        <w:t xml:space="preserve"> </w:t>
      </w:r>
    </w:p>
    <w:p w14:paraId="37683296">
      <w:pPr>
        <w:spacing w:after="0" w:line="240" w:lineRule="auto"/>
        <w:jc w:val="both"/>
        <w:rPr>
          <w:rFonts w:ascii="Arial" w:hAnsi="Arial" w:eastAsia="Calibri" w:cs="Calibri"/>
          <w:b/>
          <w:kern w:val="0"/>
          <w:sz w:val="20"/>
          <w:szCs w:val="20"/>
          <w14:ligatures w14:val="none"/>
        </w:rPr>
      </w:pPr>
    </w:p>
    <w:p w14:paraId="65E846CD">
      <w:pPr>
        <w:spacing w:after="0" w:line="240" w:lineRule="auto"/>
        <w:jc w:val="both"/>
        <w:rPr>
          <w:rFonts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</w:pPr>
      <w:r>
        <w:rPr>
          <w:rFonts w:ascii="Arial" w:hAnsi="Arial" w:eastAsia="Calibri" w:cs="Calibri"/>
          <w:b/>
          <w:kern w:val="0"/>
          <w:sz w:val="20"/>
          <w:szCs w:val="20"/>
          <w14:ligatures w14:val="none"/>
        </w:rPr>
        <w:t>Conclusion/Discussion.</w:t>
      </w:r>
      <w:r>
        <w:rPr>
          <w:rFonts w:ascii="Arial" w:hAnsi="Arial" w:eastAsia="Calibri" w:cs="Calibri"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Arial" w:hAnsi="Arial" w:eastAsia="等线" w:cs="Calibri"/>
          <w:bCs/>
          <w:kern w:val="0"/>
          <w:sz w:val="20"/>
          <w:szCs w:val="20"/>
          <w:lang w:eastAsia="zh-CN"/>
          <w14:ligatures w14:val="none"/>
        </w:rPr>
        <w:t xml:space="preserve">This work presents an innovative, orally administrable siRNA delivery platform leveraging disease-specific enzyme responsiveness. siRNA-LANPs demonstrated exceptional GI stability, targeted release, and potent therapeutic efficacy in UC models, surpassing conventional treatments. The Arg1-triggered design offers a promising strategy for enhancing siRNA bioavailability in inflammatory bowel diseases, highlighting its potential for clinical adaptation. </w:t>
      </w:r>
    </w:p>
    <w:p w14:paraId="37C2447B">
      <w:pPr>
        <w:spacing w:after="0" w:line="240" w:lineRule="auto"/>
        <w:jc w:val="center"/>
        <w:rPr>
          <w:rFonts w:ascii="Arial" w:hAnsi="Arial" w:eastAsia="等线" w:cs="Calibri"/>
          <w:bCs/>
          <w:kern w:val="0"/>
          <w:sz w:val="20"/>
          <w:szCs w:val="20"/>
          <w:lang w:val="en-US" w:eastAsia="zh-CN"/>
          <w14:ligatures w14:val="none"/>
        </w:rPr>
      </w:pPr>
    </w:p>
    <w:p w14:paraId="7D6E388F">
      <w:pPr>
        <w:spacing w:after="0" w:line="240" w:lineRule="auto"/>
        <w:jc w:val="both"/>
        <w:rPr>
          <w:rFonts w:hint="default" w:ascii="Arial" w:hAnsi="Arial" w:eastAsia="宋体" w:cs="Calibri"/>
          <w:b w:val="0"/>
          <w:bCs/>
          <w:kern w:val="0"/>
          <w:sz w:val="20"/>
          <w:szCs w:val="20"/>
          <w:lang w:val="en-US" w:eastAsia="zh-CN"/>
          <w14:ligatures w14:val="none"/>
        </w:rPr>
      </w:pPr>
      <w:r>
        <w:rPr>
          <w:rFonts w:hint="eastAsia" w:ascii="Arial" w:hAnsi="Arial" w:cs="Calibri"/>
          <w:b/>
          <w:kern w:val="0"/>
          <w:sz w:val="20"/>
          <w:szCs w:val="20"/>
          <w:lang w:val="en-US" w:eastAsia="zh-CN"/>
          <w14:ligatures w14:val="none"/>
        </w:rPr>
        <w:t xml:space="preserve">Acknowledgement. </w:t>
      </w:r>
      <w:r>
        <w:rPr>
          <w:rFonts w:hint="eastAsia" w:ascii="Arial" w:hAnsi="Arial" w:cs="Calibri"/>
          <w:b w:val="0"/>
          <w:bCs/>
          <w:kern w:val="0"/>
          <w:sz w:val="20"/>
          <w:szCs w:val="20"/>
          <w:lang w:val="en-US" w:eastAsia="zh-CN"/>
          <w14:ligatures w14:val="none"/>
        </w:rPr>
        <w:t>This study was supported by the Research Committee of the University of Macau (No.MYRG-GRG2024-00240-ICMS-UMD</w:t>
      </w:r>
      <w:bookmarkStart w:id="0" w:name="_GoBack"/>
      <w:bookmarkEnd w:id="0"/>
      <w:r>
        <w:rPr>
          <w:rFonts w:hint="eastAsia" w:ascii="Arial" w:hAnsi="Arial" w:cs="Calibri"/>
          <w:b w:val="0"/>
          <w:bCs/>
          <w:kern w:val="0"/>
          <w:sz w:val="20"/>
          <w:szCs w:val="20"/>
          <w:lang w:val="en-US" w:eastAsia="zh-CN"/>
          <w14:ligatures w14:val="none"/>
        </w:rPr>
        <w:t>F), the Science and Technology Development Fund, Macau SAR (No.005/2023/SKL), and the National Natural Science Foundation of China (No.82304411).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D2"/>
    <w:rsid w:val="000B0935"/>
    <w:rsid w:val="000B40ED"/>
    <w:rsid w:val="00107368"/>
    <w:rsid w:val="00113BB7"/>
    <w:rsid w:val="001832B2"/>
    <w:rsid w:val="001A515F"/>
    <w:rsid w:val="002017E6"/>
    <w:rsid w:val="002571E0"/>
    <w:rsid w:val="00294059"/>
    <w:rsid w:val="003206E4"/>
    <w:rsid w:val="003A6D5C"/>
    <w:rsid w:val="004A51B6"/>
    <w:rsid w:val="00510CF8"/>
    <w:rsid w:val="0054567D"/>
    <w:rsid w:val="00575A29"/>
    <w:rsid w:val="005D7A97"/>
    <w:rsid w:val="00601754"/>
    <w:rsid w:val="006A34BE"/>
    <w:rsid w:val="006E3FAE"/>
    <w:rsid w:val="006F3F1C"/>
    <w:rsid w:val="007141F2"/>
    <w:rsid w:val="00734A97"/>
    <w:rsid w:val="007561D8"/>
    <w:rsid w:val="007665FF"/>
    <w:rsid w:val="00795378"/>
    <w:rsid w:val="00796206"/>
    <w:rsid w:val="007A49E0"/>
    <w:rsid w:val="007C367E"/>
    <w:rsid w:val="008071C5"/>
    <w:rsid w:val="00821C75"/>
    <w:rsid w:val="00872B58"/>
    <w:rsid w:val="008C28DC"/>
    <w:rsid w:val="00906D34"/>
    <w:rsid w:val="0092641A"/>
    <w:rsid w:val="00933DC9"/>
    <w:rsid w:val="00936D4C"/>
    <w:rsid w:val="009523F9"/>
    <w:rsid w:val="009650DF"/>
    <w:rsid w:val="009763FF"/>
    <w:rsid w:val="009B1CBB"/>
    <w:rsid w:val="009D4B8C"/>
    <w:rsid w:val="00A0516D"/>
    <w:rsid w:val="00B17767"/>
    <w:rsid w:val="00B4721D"/>
    <w:rsid w:val="00B70D1F"/>
    <w:rsid w:val="00B8473A"/>
    <w:rsid w:val="00C21815"/>
    <w:rsid w:val="00C315D2"/>
    <w:rsid w:val="00C353D8"/>
    <w:rsid w:val="00C625A8"/>
    <w:rsid w:val="00C70C10"/>
    <w:rsid w:val="00C92C1D"/>
    <w:rsid w:val="00CF5A91"/>
    <w:rsid w:val="00D02BB1"/>
    <w:rsid w:val="00D45A74"/>
    <w:rsid w:val="00D7428F"/>
    <w:rsid w:val="00DB5747"/>
    <w:rsid w:val="00DC4785"/>
    <w:rsid w:val="00EC3746"/>
    <w:rsid w:val="00F539FB"/>
    <w:rsid w:val="00F63107"/>
    <w:rsid w:val="00F85528"/>
    <w:rsid w:val="08DB0A4D"/>
    <w:rsid w:val="2021B9E9"/>
    <w:rsid w:val="4FE71DF4"/>
    <w:rsid w:val="5E2C5F31"/>
    <w:rsid w:val="7D78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eastAsia="宋体" w:asciiTheme="minorHAnsi" w:hAnsiTheme="minorHAnsi" w:cstheme="minorBidi"/>
      <w:kern w:val="2"/>
      <w:sz w:val="24"/>
      <w:szCs w:val="24"/>
      <w:lang w:val="en-AU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标题 7 字符"/>
    <w:basedOn w:val="14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4A3A71-59EB-4D37-B60C-752E21A3FD6C}">
  <ds:schemaRefs/>
</ds:datastoreItem>
</file>

<file path=customXml/itemProps2.xml><?xml version="1.0" encoding="utf-8"?>
<ds:datastoreItem xmlns:ds="http://schemas.openxmlformats.org/officeDocument/2006/customXml" ds:itemID="{130FB8FF-F624-4CD8-B1B7-331FFFAAAFAC}">
  <ds:schemaRefs/>
</ds:datastoreItem>
</file>

<file path=customXml/itemProps3.xml><?xml version="1.0" encoding="utf-8"?>
<ds:datastoreItem xmlns:ds="http://schemas.openxmlformats.org/officeDocument/2006/customXml" ds:itemID="{31DDCDBB-A434-4396-8F0D-5A6A543FC4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2779</Characters>
  <Lines>43</Lines>
  <Paragraphs>11</Paragraphs>
  <TotalTime>6</TotalTime>
  <ScaleCrop>false</ScaleCrop>
  <LinksUpToDate>false</LinksUpToDate>
  <CharactersWithSpaces>3187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2025-05-13T08:42:00Z</dcterms:created>
  <dc:creator>Thanh Phan</dc:creator>
  <cp:lastModifiedBy>姚雅文</cp:lastModifiedBy>
  <dcterms:modified xsi:type="dcterms:W3CDTF">2025-05-29T08:57:10Z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eyJoZGlkIjoiNzMxZmRmYzMyY2QwMjljNzhkNGYyODQ5OTlkNWY4ZWEiLCJ1c2VySWQiOiIzMDExNjYyMjcifQ==</vt:lpwstr>
  </property>
  <property fmtid="{D5CDD505-2E9C-101B-9397-08002B2CF9AE}" pid="5" name="KSOProductBuildVer">
    <vt:lpwstr>2052-12.1.0.21171</vt:lpwstr>
  </property>
  <property fmtid="{D5CDD505-2E9C-101B-9397-08002B2CF9AE}" pid="6" name="ICV">
    <vt:lpwstr>7A06A50AA2864548B358F398E4730B72_12</vt:lpwstr>
  </property>
</Properties>
</file>