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6189" w14:textId="7D98764B" w:rsidR="00B074AB" w:rsidRDefault="00B074AB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Characterising the spatial and temporal interaction of TRPV4 and RhoA signalling</w:t>
      </w:r>
    </w:p>
    <w:p w14:paraId="23D082AA" w14:textId="04031F53" w:rsidR="00B074AB" w:rsidRDefault="00B074AB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Frankie Zhang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Daniel P Poole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Shireen Lamande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>, and Nicholas A. Veldhuis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</w:p>
    <w:p w14:paraId="11316896" w14:textId="71954EE3" w:rsidR="00B074AB" w:rsidRPr="008875A2" w:rsidRDefault="00B074AB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Monash Inst of Pharmaceutical Sciences, Monash Univ</w:t>
      </w:r>
      <w:r w:rsidR="008875A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Parkville, VIC, Australia and Murdoch Chilren’s Research Inst</w:t>
      </w:r>
      <w:r w:rsidR="008875A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>, Parkville, VIC, Australia</w:t>
      </w:r>
    </w:p>
    <w:p w14:paraId="2F85F824" w14:textId="08005B32" w:rsidR="00B074AB" w:rsidRDefault="00C320CC" w:rsidP="00B074AB">
      <w:pPr>
        <w:pStyle w:val="Default"/>
        <w:jc w:val="both"/>
        <w:rPr>
          <w:i/>
          <w:color w:val="auto"/>
          <w:sz w:val="20"/>
          <w:szCs w:val="20"/>
        </w:rPr>
      </w:pPr>
      <w:r w:rsidRPr="00C320CC">
        <w:rPr>
          <w:i/>
          <w:color w:val="auto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084F4B5" wp14:editId="2AD88298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665730" cy="1971675"/>
            <wp:effectExtent l="0" t="0" r="1270" b="9525"/>
            <wp:wrapSquare wrapText="bothSides"/>
            <wp:docPr id="656743823" name="Picture 1" descr="A graph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43823" name="Picture 1" descr="A graph of a number of number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73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813" w:rsidRPr="004E5450">
        <w:rPr>
          <w:i/>
          <w:color w:val="auto"/>
          <w:sz w:val="20"/>
          <w:szCs w:val="20"/>
        </w:rPr>
        <w:t xml:space="preserve"> </w:t>
      </w:r>
    </w:p>
    <w:p w14:paraId="418D5904" w14:textId="0BDE571D" w:rsidR="00711813" w:rsidRPr="004E5450" w:rsidRDefault="00711813" w:rsidP="00B074AB">
      <w:pPr>
        <w:pStyle w:val="Default"/>
        <w:jc w:val="both"/>
        <w:rPr>
          <w:sz w:val="20"/>
          <w:szCs w:val="20"/>
          <w:lang w:val="en-AU"/>
        </w:rPr>
      </w:pPr>
      <w:r w:rsidRPr="00444224">
        <w:rPr>
          <w:b/>
          <w:bCs/>
          <w:sz w:val="20"/>
          <w:szCs w:val="20"/>
          <w:lang w:val="en-AU"/>
        </w:rPr>
        <w:t>Introduction.</w:t>
      </w:r>
      <w:r w:rsidRPr="004E5450">
        <w:rPr>
          <w:sz w:val="20"/>
          <w:szCs w:val="20"/>
          <w:lang w:val="en-AU"/>
        </w:rPr>
        <w:t xml:space="preserve"> </w:t>
      </w:r>
      <w:r w:rsidR="008875A2">
        <w:rPr>
          <w:sz w:val="20"/>
          <w:szCs w:val="20"/>
          <w:lang w:val="en-AU"/>
        </w:rPr>
        <w:t xml:space="preserve">Transient Receptor Potential Vanilloid 4 (TRPV4) is a polymodally activated ion channel that integrates physical and chemical signals across tissues. </w:t>
      </w:r>
      <w:r w:rsidR="00920097">
        <w:rPr>
          <w:sz w:val="20"/>
          <w:szCs w:val="20"/>
          <w:lang w:val="en-AU"/>
        </w:rPr>
        <w:t>Clinical mutations of TRPV4 result in phenotypically diverse skeletal dysplasias</w:t>
      </w:r>
      <w:r w:rsidR="005F2864">
        <w:rPr>
          <w:sz w:val="20"/>
          <w:szCs w:val="20"/>
          <w:lang w:val="en-AU"/>
        </w:rPr>
        <w:t xml:space="preserve"> (SD)</w:t>
      </w:r>
      <w:r w:rsidR="00920097">
        <w:rPr>
          <w:sz w:val="20"/>
          <w:szCs w:val="20"/>
          <w:lang w:val="en-AU"/>
        </w:rPr>
        <w:t xml:space="preserve"> and neuropathies</w:t>
      </w:r>
      <w:r w:rsidR="00355DCD">
        <w:rPr>
          <w:sz w:val="20"/>
          <w:szCs w:val="20"/>
          <w:lang w:val="en-AU"/>
        </w:rPr>
        <w:t xml:space="preserve">, yet limited therapeutic options exist. </w:t>
      </w:r>
      <w:r w:rsidR="00BF14BA">
        <w:rPr>
          <w:sz w:val="20"/>
          <w:szCs w:val="20"/>
          <w:lang w:val="en-AU"/>
        </w:rPr>
        <w:t xml:space="preserve">Emerging evidence </w:t>
      </w:r>
      <w:r w:rsidR="005F2864">
        <w:rPr>
          <w:sz w:val="20"/>
          <w:szCs w:val="20"/>
          <w:lang w:val="en-AU"/>
        </w:rPr>
        <w:t>points to RhoA, a small G-protein, as a candidate regulator of TRPV4 function. Crucially, only neuropathic mutants disrupt the TRPV4-RhoA signalling axis</w:t>
      </w:r>
      <w:r w:rsidR="00355DCD">
        <w:rPr>
          <w:sz w:val="20"/>
          <w:szCs w:val="20"/>
          <w:lang w:val="en-AU"/>
        </w:rPr>
        <w:t xml:space="preserve">, hinting at disease-specific mechanisms. Despite this, systematic characterisation of the spatial and temporal nature of </w:t>
      </w:r>
      <w:r w:rsidR="00030FE0">
        <w:rPr>
          <w:sz w:val="20"/>
          <w:szCs w:val="20"/>
          <w:lang w:val="en-AU"/>
        </w:rPr>
        <w:t>RhoA binding is scarce.</w:t>
      </w:r>
    </w:p>
    <w:p w14:paraId="669CC36B" w14:textId="286F1DF0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355DCD">
        <w:rPr>
          <w:rFonts w:ascii="Calibri" w:hAnsi="Calibri" w:cs="Calibri"/>
          <w:sz w:val="20"/>
          <w:szCs w:val="20"/>
          <w:lang w:val="en-AU"/>
        </w:rPr>
        <w:t xml:space="preserve">To profile the TRPV4-RhoA signalling axis and assess how clinically relevant mutations disrupt this process. </w:t>
      </w:r>
    </w:p>
    <w:p w14:paraId="2701DF53" w14:textId="7329FF5E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355DCD">
        <w:rPr>
          <w:rFonts w:ascii="Calibri" w:hAnsi="Calibri" w:cs="Calibri"/>
          <w:sz w:val="20"/>
          <w:szCs w:val="20"/>
          <w:lang w:val="en-AU"/>
        </w:rPr>
        <w:t>Bioluminescence resonance energy transfer</w:t>
      </w:r>
      <w:r w:rsidR="00E43BE7">
        <w:rPr>
          <w:rFonts w:ascii="Calibri" w:hAnsi="Calibri" w:cs="Calibri"/>
          <w:sz w:val="20"/>
          <w:szCs w:val="20"/>
          <w:lang w:val="en-AU"/>
        </w:rPr>
        <w:t xml:space="preserve"> (BRET)-based biosensors and super-resolution imaging were used to ascertain TRPV4-RhoA localisation. Ligand-induced un-coupling </w:t>
      </w:r>
      <w:r w:rsidR="0023096C">
        <w:rPr>
          <w:rFonts w:ascii="Calibri" w:hAnsi="Calibri" w:cs="Calibri"/>
          <w:sz w:val="20"/>
          <w:szCs w:val="20"/>
          <w:lang w:val="en-AU"/>
        </w:rPr>
        <w:t xml:space="preserve">of TRPV4 and RhoA </w:t>
      </w:r>
      <w:r w:rsidR="00E43BE7">
        <w:rPr>
          <w:rFonts w:ascii="Calibri" w:hAnsi="Calibri" w:cs="Calibri"/>
          <w:sz w:val="20"/>
          <w:szCs w:val="20"/>
          <w:lang w:val="en-AU"/>
        </w:rPr>
        <w:t>was quantified using BRET.</w:t>
      </w:r>
    </w:p>
    <w:p w14:paraId="0DE14BDF" w14:textId="4329F4E4" w:rsidR="00711813" w:rsidRPr="001244B7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776D5">
        <w:rPr>
          <w:rFonts w:ascii="Calibri" w:hAnsi="Calibri" w:cs="Calibri"/>
          <w:sz w:val="20"/>
          <w:szCs w:val="20"/>
          <w:lang w:val="en-AU"/>
        </w:rPr>
        <w:t xml:space="preserve">We observed robust, saturable BRET signals between TRPV4 and RhoA, consistent with specific molecular binding. This was supported by super resolution imaging, where we </w:t>
      </w:r>
      <w:r w:rsidR="003E67B7">
        <w:rPr>
          <w:rFonts w:ascii="Calibri" w:hAnsi="Calibri" w:cs="Calibri"/>
          <w:sz w:val="20"/>
          <w:szCs w:val="20"/>
          <w:lang w:val="en-AU"/>
        </w:rPr>
        <w:t>observed</w:t>
      </w:r>
      <w:r w:rsidR="008776D5">
        <w:rPr>
          <w:rFonts w:ascii="Calibri" w:hAnsi="Calibri" w:cs="Calibri"/>
          <w:sz w:val="20"/>
          <w:szCs w:val="20"/>
          <w:lang w:val="en-AU"/>
        </w:rPr>
        <w:t xml:space="preserve"> TRPV4-RhoA co-localisation at the cell surface and in intracellular structures. Acute stimulation with TRPV4-specific agonist GSK101 produced a significant, </w:t>
      </w:r>
      <w:r w:rsidR="001244B7">
        <w:rPr>
          <w:rFonts w:ascii="Calibri" w:hAnsi="Calibri" w:cs="Calibri"/>
          <w:sz w:val="20"/>
          <w:szCs w:val="20"/>
          <w:lang w:val="en-AU"/>
        </w:rPr>
        <w:t xml:space="preserve">concentration dependent peak </w:t>
      </w:r>
      <w:r w:rsidR="008776D5">
        <w:rPr>
          <w:rFonts w:ascii="Calibri" w:hAnsi="Calibri" w:cs="Calibri"/>
          <w:sz w:val="20"/>
          <w:szCs w:val="20"/>
          <w:lang w:val="en-AU"/>
        </w:rPr>
        <w:t>reduction in BRET compared to vehicle</w:t>
      </w:r>
      <w:r w:rsidR="00D37F6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244B7">
        <w:rPr>
          <w:rFonts w:ascii="Calibri" w:hAnsi="Calibri" w:cs="Calibri"/>
          <w:sz w:val="20"/>
          <w:szCs w:val="20"/>
          <w:lang w:val="en-AU"/>
        </w:rPr>
        <w:t xml:space="preserve">(-0.006 </w:t>
      </w:r>
      <w:r w:rsidR="001244B7">
        <w:rPr>
          <w:rFonts w:ascii="Calibri" w:hAnsi="Calibri" w:cs="Calibri"/>
          <w:sz w:val="20"/>
          <w:szCs w:val="20"/>
          <w:u w:val="single"/>
          <w:lang w:val="en-AU"/>
        </w:rPr>
        <w:t>+</w:t>
      </w:r>
      <w:r w:rsidR="001244B7">
        <w:rPr>
          <w:rFonts w:ascii="Calibri" w:hAnsi="Calibri" w:cs="Calibri"/>
          <w:sz w:val="20"/>
          <w:szCs w:val="20"/>
          <w:lang w:val="en-AU"/>
        </w:rPr>
        <w:t xml:space="preserve"> 0.0008, n = 5, p&lt;0.001). </w:t>
      </w:r>
    </w:p>
    <w:p w14:paraId="4A932308" w14:textId="5F5A9831" w:rsidR="004E545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</w:t>
      </w:r>
      <w:r w:rsidR="00D94806">
        <w:rPr>
          <w:rFonts w:ascii="Calibri" w:hAnsi="Calibri" w:cs="Calibri"/>
          <w:b/>
          <w:bCs/>
          <w:sz w:val="20"/>
          <w:szCs w:val="20"/>
          <w:lang w:val="en-AU"/>
        </w:rPr>
        <w:t xml:space="preserve">. </w:t>
      </w:r>
      <w:r w:rsidR="00D94806">
        <w:rPr>
          <w:rFonts w:ascii="Calibri" w:hAnsi="Calibri" w:cs="Calibri"/>
          <w:sz w:val="20"/>
          <w:szCs w:val="20"/>
          <w:lang w:val="en-AU"/>
        </w:rPr>
        <w:t xml:space="preserve">These findings provide the first direct evidence that TRPV4 and RhoA form a dynamic complex that is disrupted upon channel activation. This further confirms previous findings that RhoA acts as a regulatory partner of TRPV4. Importantly, we highlight </w:t>
      </w:r>
      <w:r w:rsidR="00030FE0">
        <w:rPr>
          <w:rFonts w:ascii="Calibri" w:hAnsi="Calibri" w:cs="Calibri"/>
          <w:sz w:val="20"/>
          <w:szCs w:val="20"/>
          <w:lang w:val="en-AU"/>
        </w:rPr>
        <w:t xml:space="preserve">potential implications for targeting the TRPV4-RhoA signalling </w:t>
      </w:r>
      <w:r w:rsidR="00F31AB2">
        <w:rPr>
          <w:rFonts w:ascii="Calibri" w:hAnsi="Calibri" w:cs="Calibri"/>
          <w:sz w:val="20"/>
          <w:szCs w:val="20"/>
          <w:lang w:val="en-AU"/>
        </w:rPr>
        <w:t xml:space="preserve">pathway </w:t>
      </w:r>
      <w:r w:rsidR="00030FE0">
        <w:rPr>
          <w:rFonts w:ascii="Calibri" w:hAnsi="Calibri" w:cs="Calibri"/>
          <w:sz w:val="20"/>
          <w:szCs w:val="20"/>
          <w:lang w:val="en-AU"/>
        </w:rPr>
        <w:t xml:space="preserve">as </w:t>
      </w:r>
      <w:r w:rsidR="00F31AB2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030FE0">
        <w:rPr>
          <w:rFonts w:ascii="Calibri" w:hAnsi="Calibri" w:cs="Calibri"/>
          <w:sz w:val="20"/>
          <w:szCs w:val="20"/>
          <w:lang w:val="en-AU"/>
        </w:rPr>
        <w:t>therapeutic approach to treat neuropath</w:t>
      </w:r>
      <w:r w:rsidR="00F31AB2">
        <w:rPr>
          <w:rFonts w:ascii="Calibri" w:hAnsi="Calibri" w:cs="Calibri"/>
          <w:sz w:val="20"/>
          <w:szCs w:val="20"/>
          <w:lang w:val="en-AU"/>
        </w:rPr>
        <w:t xml:space="preserve">y-associated TRPV4 mutations. </w:t>
      </w:r>
    </w:p>
    <w:sectPr w:rsidR="004E545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A5C7" w14:textId="77777777" w:rsidR="0078694D" w:rsidRDefault="0078694D" w:rsidP="00337354">
      <w:r>
        <w:separator/>
      </w:r>
    </w:p>
  </w:endnote>
  <w:endnote w:type="continuationSeparator" w:id="0">
    <w:p w14:paraId="13008D5A" w14:textId="77777777" w:rsidR="0078694D" w:rsidRDefault="0078694D" w:rsidP="0033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C877" w14:textId="77777777" w:rsidR="0078694D" w:rsidRDefault="0078694D" w:rsidP="00337354">
      <w:r>
        <w:separator/>
      </w:r>
    </w:p>
  </w:footnote>
  <w:footnote w:type="continuationSeparator" w:id="0">
    <w:p w14:paraId="022883AF" w14:textId="77777777" w:rsidR="0078694D" w:rsidRDefault="0078694D" w:rsidP="00337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30FE0"/>
    <w:rsid w:val="000A4FA6"/>
    <w:rsid w:val="001244B7"/>
    <w:rsid w:val="00155A03"/>
    <w:rsid w:val="001C2D0C"/>
    <w:rsid w:val="002272B0"/>
    <w:rsid w:val="0023096C"/>
    <w:rsid w:val="00300B92"/>
    <w:rsid w:val="003238D9"/>
    <w:rsid w:val="00337354"/>
    <w:rsid w:val="00355DCD"/>
    <w:rsid w:val="00387491"/>
    <w:rsid w:val="003E67B7"/>
    <w:rsid w:val="00444224"/>
    <w:rsid w:val="00483B05"/>
    <w:rsid w:val="004E28B9"/>
    <w:rsid w:val="004E50FC"/>
    <w:rsid w:val="004E5450"/>
    <w:rsid w:val="0059609A"/>
    <w:rsid w:val="00597659"/>
    <w:rsid w:val="005D1700"/>
    <w:rsid w:val="005E48A2"/>
    <w:rsid w:val="005E62BE"/>
    <w:rsid w:val="005F2864"/>
    <w:rsid w:val="00711813"/>
    <w:rsid w:val="00724E3C"/>
    <w:rsid w:val="00743C46"/>
    <w:rsid w:val="00760B17"/>
    <w:rsid w:val="0078694D"/>
    <w:rsid w:val="008776D5"/>
    <w:rsid w:val="00885303"/>
    <w:rsid w:val="008875A2"/>
    <w:rsid w:val="008909C9"/>
    <w:rsid w:val="00920097"/>
    <w:rsid w:val="00947B77"/>
    <w:rsid w:val="009E2228"/>
    <w:rsid w:val="009F06D6"/>
    <w:rsid w:val="00A266B4"/>
    <w:rsid w:val="00A71DEF"/>
    <w:rsid w:val="00AE2DA6"/>
    <w:rsid w:val="00B074AB"/>
    <w:rsid w:val="00BC5FCC"/>
    <w:rsid w:val="00BF14BA"/>
    <w:rsid w:val="00C132EC"/>
    <w:rsid w:val="00C320CC"/>
    <w:rsid w:val="00C60A71"/>
    <w:rsid w:val="00CF066F"/>
    <w:rsid w:val="00D37F64"/>
    <w:rsid w:val="00D55F3B"/>
    <w:rsid w:val="00D84CE2"/>
    <w:rsid w:val="00D94806"/>
    <w:rsid w:val="00DA2731"/>
    <w:rsid w:val="00E43BE7"/>
    <w:rsid w:val="00EF12F3"/>
    <w:rsid w:val="00F02477"/>
    <w:rsid w:val="00F31AB2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20384"/>
  <w15:chartTrackingRefBased/>
  <w15:docId w15:val="{82AD0E90-E46B-432D-A6E4-C7C0470D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73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35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373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35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970A-F28E-4091-A5BD-F09FB3FB83AE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Frankie Zhang</cp:lastModifiedBy>
  <cp:revision>6</cp:revision>
  <cp:lastPrinted>2013-06-13T05:15:00Z</cp:lastPrinted>
  <dcterms:created xsi:type="dcterms:W3CDTF">2025-09-12T06:00:00Z</dcterms:created>
  <dcterms:modified xsi:type="dcterms:W3CDTF">2025-09-12T06:44:00Z</dcterms:modified>
</cp:coreProperties>
</file>