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2527C3B8" w:rsidR="00C315D2" w:rsidRPr="00C315D2" w:rsidRDefault="00C918E2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bookmarkStart w:id="0" w:name="OLE_LINK5"/>
      <w:r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Rational 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Development </w:t>
      </w:r>
      <w:r w:rsidR="005E0AA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o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f </w:t>
      </w:r>
      <w:r w:rsidR="005E0AA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Sildenafil-</w:t>
      </w:r>
      <w:r w:rsidR="00012179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Curcumin</w:t>
      </w:r>
      <w:r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Nano</w:t>
      </w:r>
      <w:r w:rsidR="005E0AA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agglomerated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F147A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dry powder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r w:rsidR="00F147A4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s Nose-To-Brain Therapy </w:t>
      </w:r>
      <w:r w:rsidR="00F147A4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for</w:t>
      </w:r>
      <w:r w:rsidR="005E0AA2" w:rsidRPr="00C918E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 xml:space="preserve"> </w:t>
      </w:r>
      <w:bookmarkStart w:id="1" w:name="OLE_LINK2"/>
      <w:bookmarkStart w:id="2" w:name="OLE_LINK4"/>
      <w:r w:rsidR="005E0AA2" w:rsidRPr="005E0AA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Alzheimer's Disease</w:t>
      </w:r>
      <w:bookmarkEnd w:id="1"/>
    </w:p>
    <w:bookmarkEnd w:id="0"/>
    <w:bookmarkEnd w:id="2"/>
    <w:p w14:paraId="79141BD9" w14:textId="33179070" w:rsidR="00C315D2" w:rsidRPr="00C315D2" w:rsidRDefault="00EA4DE9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EA4DE9"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Xinyue Zhang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1</w:t>
      </w:r>
      <w:r w:rsidR="00496D3E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14:ligatures w14:val="none"/>
        </w:rPr>
        <w:t>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496D3E" w:rsidRPr="00496D3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Shing Fung Chow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1,2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115D0E3E" w:rsidR="00C315D2" w:rsidRPr="00C315D2" w:rsidRDefault="00050C71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3F7EC0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103CA0" w:rsidRPr="00103CA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Department of Pharmacology and Pharmacy, Li Ka Shing Faculty of Medicine, The University of Hong Kong, Hong Kong Special Administrative Region</w:t>
      </w:r>
      <w:r w:rsidR="004B32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bookmarkStart w:id="3" w:name="OLE_LINK1"/>
      <w:proofErr w:type="gramStart"/>
      <w:r w:rsidR="004B32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China</w:t>
      </w:r>
      <w:bookmarkEnd w:id="3"/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7D76891" w14:textId="5492775F" w:rsidR="00C315D2" w:rsidRPr="00C315D2" w:rsidRDefault="00050C71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2</w:t>
      </w:r>
      <w:r w:rsidR="004B32C9" w:rsidRPr="004B32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Advanced Biomedical Instrumentation Centre, Hong Kong Science Park, Hong Kong Special Administrative Region</w:t>
      </w:r>
      <w:r w:rsidR="004B32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China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77777777" w:rsidR="00C315D2" w:rsidRPr="00C315D2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15D93483" w14:textId="3E32F5E4" w:rsidR="00C315D2" w:rsidRDefault="00B8473A" w:rsidP="00D644AD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45E00" w:rsidRPr="00B45E0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Alzheimer's disease (AD) remains a significant challenge due to the lack of effective treatments that can halt disease progression</w:t>
      </w:r>
      <w:r w:rsidR="00B45E0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  <w:r w:rsidR="00A873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C4C35" w:rsidRPr="003C4C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Sildenafil (SIL) has been shown to suppress tau hyperphosphorylation (1), while </w:t>
      </w:r>
      <w:r w:rsidR="00841A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</w:t>
      </w:r>
      <w:r w:rsidR="003C4C35" w:rsidRPr="003C4C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urcumin</w:t>
      </w:r>
      <w:r w:rsidR="004B1E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(CUR)</w:t>
      </w:r>
      <w:r w:rsidR="003C4C35" w:rsidRPr="003C4C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has demonstrated the ability to regulate Aβ</w:t>
      </w:r>
      <w:r w:rsidR="003C4C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C4C35" w:rsidRPr="003C4C3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levels (2).</w:t>
      </w:r>
      <w:r w:rsidR="006D52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4B1E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</w:t>
      </w:r>
      <w:r w:rsidR="004B1ECA">
        <w:rPr>
          <w:rFonts w:ascii="Arial" w:eastAsia="Calibri" w:hAnsi="Arial" w:cs="Calibri" w:hint="eastAsia"/>
          <w:bCs/>
          <w:kern w:val="0"/>
          <w:sz w:val="20"/>
          <w:szCs w:val="20"/>
          <w:lang w:eastAsia="zh-CN"/>
          <w14:ligatures w14:val="none"/>
        </w:rPr>
        <w:t>ence</w:t>
      </w:r>
      <w:r w:rsidR="004B1ECA">
        <w:rPr>
          <w:rFonts w:ascii="Arial" w:eastAsia="Calibri" w:hAnsi="Arial" w:cs="Calibri"/>
          <w:bCs/>
          <w:kern w:val="0"/>
          <w:sz w:val="20"/>
          <w:szCs w:val="20"/>
          <w:lang w:val="en-US" w:eastAsia="zh-CN"/>
          <w14:ligatures w14:val="none"/>
        </w:rPr>
        <w:t xml:space="preserve">, </w:t>
      </w:r>
      <w:r w:rsidR="004B1ECA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</w:t>
      </w:r>
      <w:r w:rsidR="006D526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his study aims </w:t>
      </w:r>
      <w:r w:rsidR="003F6D7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to </w:t>
      </w:r>
      <w:r w:rsidR="00050C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develop </w:t>
      </w:r>
      <w:r w:rsidR="00E55523" w:rsidRPr="008956A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SIL-CUR</w:t>
      </w:r>
      <w:r w:rsidR="00E555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55523" w:rsidRPr="00E555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nanoagglomerated dry powder</w:t>
      </w:r>
      <w:r w:rsidR="00050C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E55523" w:rsidRPr="00E55523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as nose-to-brain therapy for </w:t>
      </w:r>
      <w:r w:rsidR="00D644AD" w:rsidRPr="00D644A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halting Aβ- and tau-driven progression </w:t>
      </w:r>
      <w:r w:rsidR="00D644A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of </w:t>
      </w:r>
      <w:r w:rsidR="003915E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AD</w:t>
      </w:r>
      <w:r w:rsidR="00D644A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0DE5776E" w14:textId="77777777" w:rsidR="00B920D0" w:rsidRPr="00A87357" w:rsidRDefault="00B920D0" w:rsidP="00992409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 w:eastAsia="zh-CN"/>
          <w14:ligatures w14:val="none"/>
        </w:rPr>
      </w:pPr>
    </w:p>
    <w:p w14:paraId="48C0479A" w14:textId="20E55954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0124" w:rsidRPr="007601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SIL-CUR nanosuspensions were fabricated by flash nanoprecipitation</w:t>
      </w:r>
      <w:r w:rsidR="000357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760124" w:rsidRPr="0076012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with N-polyvinylpyrrolidone as the stabilizer. The formulation parameters were optimized using a three-factor Box-Behnken design. </w:t>
      </w:r>
      <w:r w:rsidR="003057D0" w:rsidRPr="003057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optimal SIL-CUR nanosuspension</w:t>
      </w:r>
      <w:r w:rsidR="00050C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3057D0" w:rsidRPr="003057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was converted into nanoagglomerated powders using </w:t>
      </w:r>
      <w:r w:rsidR="00050C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combined </w:t>
      </w:r>
      <w:r w:rsidR="003057D0" w:rsidRPr="003217A8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in-situ</w:t>
      </w:r>
      <w:r w:rsidR="003057D0" w:rsidRPr="003057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thermal gelation and spray drying</w:t>
      </w:r>
      <w:r w:rsidR="008156C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(3)</w:t>
      </w:r>
      <w:r w:rsidR="003057D0" w:rsidRPr="003057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The spray drying process</w:t>
      </w:r>
      <w:r w:rsidR="00050C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ing</w:t>
      </w:r>
      <w:r w:rsidR="003057D0" w:rsidRPr="003057D0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parameters were optimized using a 2-level, 2-factor full factorial design.</w:t>
      </w:r>
      <w:r w:rsid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AD513B" w:rsidRPr="00AD51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The nasal deposition studies of the dry powder were conducted</w:t>
      </w:r>
      <w:r w:rsidR="00035711" w:rsidRPr="0003571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035711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using an anatomically realistic Alberta Idealized Nasal Inlet model at an inspiratory flow rate of 15 L/min</w:t>
      </w:r>
      <w:r w:rsidR="0003571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  <w:r w:rsidR="00CB1C57" w:rsidRP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safety of the optimized </w:t>
      </w:r>
      <w:r w:rsid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SIL-CUR</w:t>
      </w:r>
      <w:r w:rsidR="00CB1C57" w:rsidRP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dry powder was </w:t>
      </w:r>
      <w:r w:rsidR="00050C71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evaluated</w:t>
      </w:r>
      <w:r w:rsidR="00050C71" w:rsidRP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CB1C57" w:rsidRP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in cytotoxicity studies with nasal (RPMI 2650) and brain related cells (SH-SY5Y and </w:t>
      </w:r>
      <w:r w:rsid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</w:t>
      </w:r>
      <w:r w:rsidR="00A52F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-</w:t>
      </w:r>
      <w:r w:rsid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8</w:t>
      </w:r>
      <w:r w:rsidR="00A52FA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7 </w:t>
      </w:r>
      <w:r w:rsid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MG</w:t>
      </w:r>
      <w:r w:rsidR="00CB1C57" w:rsidRPr="00CB1C57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)</w:t>
      </w:r>
      <w:r w:rsidR="00CB2F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</w:t>
      </w:r>
    </w:p>
    <w:p w14:paraId="1387B9C3" w14:textId="77777777" w:rsidR="00C315D2" w:rsidRPr="00CB1C57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58EE2702" w14:textId="35F8A902" w:rsidR="00C315D2" w:rsidRPr="00C315D2" w:rsidRDefault="00795378" w:rsidP="00EF11D7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The optimal </w:t>
      </w:r>
      <w:r w:rsidR="00533638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SIL-CUR nanosuspension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(Figure 1 (A) and (B))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exhibited a z-average particle size of 122.32 ± 1.92 nm, PDI of 0.18 ± 0.03, </w:t>
      </w:r>
      <w:r w:rsidR="00050C7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acceptable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colloidal stability, zeta potential of 0.30 ± 0.29 mV, and encapsulation efficiency of 80.33 ± 2.44% (SIL) and &gt;99.99% (CUR).</w:t>
      </w:r>
      <w:r w:rsidR="00BC5D6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The optimized dry powder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(Figure 1 (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 and (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</w:t>
      </w:r>
      <w:r w:rsidR="000946B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))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exhibited </w:t>
      </w:r>
      <w:r w:rsidR="0050604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satisfactory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redispersibility (Redispersibility index</w:t>
      </w:r>
      <w:r w:rsidR="00BD521F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= 1.16 ± 0.0</w:t>
      </w:r>
      <w:r w:rsidR="00625BA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1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), </w:t>
      </w:r>
      <w:r w:rsidR="00DB760B" w:rsidRPr="00DB760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buckled morphology</w:t>
      </w:r>
      <w:r w:rsidR="00DB760B" w:rsidRPr="00DB760B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and </w:t>
      </w:r>
      <w:r w:rsidR="0050604E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excellent</w:t>
      </w:r>
      <w:r w:rsidR="0050604E" w:rsidRPr="00EF11D7" w:rsidDel="0050604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EF11D7" w:rsidRPr="00EF11D7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drug deposition in the olfactory region (18.62 ± 0.85%). The drug content of SIL (6.63 ± 0.14%) and CUR (13.43 ± 0.38%) were consistent with the theoretical values.</w:t>
      </w:r>
      <w:r w:rsidR="0050604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Furthermore, the </w:t>
      </w:r>
      <w:r w:rsid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cytotoxicity</w:t>
      </w:r>
      <w:r w:rsidR="009816D9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stud</w:t>
      </w:r>
      <w:r w:rsidR="0050604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ies</w:t>
      </w:r>
      <w:r w:rsidR="009816D9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050C7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confirmed </w:t>
      </w:r>
      <w:r w:rsidR="009816D9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that </w:t>
      </w:r>
      <w:r w:rsidR="00D07E06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SIL</w:t>
      </w:r>
      <w:r w:rsidR="009816D9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-CUR dry powder </w:t>
      </w:r>
      <w:r w:rsidR="0050604E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was</w:t>
      </w:r>
      <w:r w:rsidR="0050604E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</w:t>
      </w:r>
      <w:r w:rsidR="00050C71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safe</w:t>
      </w:r>
      <w:r w:rsidR="009816D9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within a clinically relevant </w:t>
      </w:r>
      <w:r w:rsidR="00702E90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SIL </w:t>
      </w:r>
      <w:r w:rsidR="009816D9" w:rsidRPr="009816D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concentration range of </w:t>
      </w:r>
      <w:r w:rsidR="00333039" w:rsidRPr="0033303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50–2,000 n</w:t>
      </w:r>
      <w:r w:rsidR="0033303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M.</w:t>
      </w:r>
    </w:p>
    <w:p w14:paraId="37683296" w14:textId="77777777" w:rsidR="00C315D2" w:rsidRPr="003217A8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</w:pPr>
    </w:p>
    <w:p w14:paraId="65E846CD" w14:textId="42079D39" w:rsidR="00C315D2" w:rsidRPr="00FB02E4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 w:eastAsia="zh-CN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9B15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production and optimization of </w:t>
      </w:r>
      <w:r w:rsidR="00FB02E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SIL-CUR dry powder</w:t>
      </w:r>
      <w:r w:rsidR="00050C7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tailored for nose-to-brain delivery, </w:t>
      </w:r>
      <w:r w:rsidR="00050C7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were</w:t>
      </w:r>
      <w:r w:rsidR="00050C71" w:rsidRPr="00255F0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255F0A" w:rsidRPr="00255F0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successfully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achieved</w:t>
      </w:r>
      <w:r w:rsidR="00255F0A" w:rsidRPr="00255F0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using a</w:t>
      </w:r>
      <w:r w:rsidR="00255F0A" w:rsidRPr="00255F0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674BD6" w:rsidRPr="00674BD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Quality-by-Design</w:t>
      </w:r>
      <w:r w:rsidR="009B1595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approach</w:t>
      </w:r>
      <w:r w:rsidR="00167FC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.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Studies on the</w:t>
      </w:r>
      <w:r w:rsidR="009B1595" w:rsidRPr="00167FC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B57AA3" w:rsidRPr="00B57AA3">
        <w:rPr>
          <w:rFonts w:ascii="Arial" w:eastAsia="Calibri" w:hAnsi="Arial" w:cs="Calibri"/>
          <w:bCs/>
          <w:i/>
          <w:iCs/>
          <w:kern w:val="0"/>
          <w:sz w:val="20"/>
          <w:szCs w:val="20"/>
          <w:lang w:val="en-US"/>
          <w14:ligatures w14:val="none"/>
        </w:rPr>
        <w:t>in-vivo</w:t>
      </w:r>
      <w:r w:rsidR="00B57AA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167FCC" w:rsidRPr="00167FC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pharmacokinetics and efficacy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are currently underway</w:t>
      </w:r>
      <w:r w:rsidR="00B57AA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C4607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This </w:t>
      </w:r>
      <w:r w:rsidR="005D5CDA" w:rsidRPr="005D5CD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study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holds potential for advancing the development of innovative</w:t>
      </w:r>
      <w:r w:rsidR="005D5CDA" w:rsidRPr="005D5CD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B1595" w:rsidRPr="0090354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nanotherapy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targeting </w:t>
      </w:r>
      <w:r w:rsidR="00903545" w:rsidRPr="0090354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anti-Aβ and anti-tau </w:t>
      </w:r>
      <w:r w:rsidR="009B1595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for </w:t>
      </w:r>
      <w:r w:rsidR="005D5CDA" w:rsidRPr="005D5CD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patients with </w:t>
      </w:r>
      <w:r w:rsidR="003915E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AD</w:t>
      </w:r>
      <w:r w:rsidR="005D5CDA" w:rsidRPr="005D5CDA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6A5EF19E" w14:textId="77777777" w:rsidR="00A025C6" w:rsidRDefault="00A025C6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</w:p>
    <w:p w14:paraId="4F95318E" w14:textId="1E4B1965" w:rsidR="00A025C6" w:rsidRPr="00C315D2" w:rsidRDefault="00A025C6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A025C6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Acknowledgements</w:t>
      </w: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A025C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This study was financially supported by the Health and Medical Research Fund (Reference number: </w:t>
      </w:r>
      <w:r w:rsidR="00864F7E" w:rsidRPr="00864F7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21223381</w:t>
      </w:r>
      <w:r w:rsidRPr="00A025C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) from Health Bureau, Hong Kong SAR Government.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2C801966" w14:textId="7FDEA79E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p w14:paraId="495B1BA5" w14:textId="0E597C7D" w:rsidR="00C315D2" w:rsidRPr="00724B41" w:rsidRDefault="0011152A" w:rsidP="00724B41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</w:t>
      </w:r>
      <w:r w:rsidRPr="00724B41">
        <w:rPr>
          <w:rFonts w:ascii="Arial" w:eastAsia="Calibri" w:hAnsi="Arial" w:cs="Calibri" w:hint="eastAsia"/>
          <w:bCs/>
          <w:kern w:val="0"/>
          <w:sz w:val="20"/>
          <w:szCs w:val="20"/>
          <w:lang w:val="en-US" w:eastAsia="zh-CN"/>
          <w14:ligatures w14:val="none"/>
        </w:rPr>
        <w:t>ang</w:t>
      </w:r>
      <w:r w:rsidR="00883558" w:rsidRPr="00724B41">
        <w:rPr>
          <w:rFonts w:ascii="Arial" w:eastAsia="Calibri" w:hAnsi="Arial" w:cs="Calibri"/>
          <w:bCs/>
          <w:kern w:val="0"/>
          <w:sz w:val="20"/>
          <w:szCs w:val="20"/>
          <w:lang w:val="en-US" w:eastAsia="zh-CN"/>
          <w14:ligatures w14:val="none"/>
        </w:rPr>
        <w:t>,</w:t>
      </w:r>
      <w:r w:rsidRPr="00724B41">
        <w:rPr>
          <w:rFonts w:ascii="Arial" w:eastAsia="Calibri" w:hAnsi="Arial" w:cs="Calibri"/>
          <w:bCs/>
          <w:kern w:val="0"/>
          <w:sz w:val="20"/>
          <w:szCs w:val="20"/>
          <w:lang w:val="en-US" w:eastAsia="zh-CN"/>
          <w14:ligatures w14:val="none"/>
        </w:rPr>
        <w:t xml:space="preserve"> A</w:t>
      </w:r>
      <w:r w:rsidR="00C315D2"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  <w:r w:rsidR="00883558"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et al</w:t>
      </w:r>
      <w:r w:rsidR="00C315D2"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(20</w:t>
      </w:r>
      <w:r w:rsidR="00883558"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21</w:t>
      </w:r>
      <w:r w:rsidR="00C315D2"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) </w:t>
      </w:r>
      <w:r w:rsidR="006766AE"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Nat Aging;1(12):1175-88.</w:t>
      </w:r>
    </w:p>
    <w:p w14:paraId="0A4C830F" w14:textId="5375117D" w:rsidR="00724B41" w:rsidRPr="00724B41" w:rsidRDefault="00724B41" w:rsidP="00724B41">
      <w:pPr>
        <w:pStyle w:val="a9"/>
        <w:numPr>
          <w:ilvl w:val="0"/>
          <w:numId w:val="2"/>
        </w:num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Y</w:t>
      </w:r>
      <w:r w:rsidRPr="00724B41">
        <w:rPr>
          <w:rFonts w:ascii="Arial" w:eastAsia="Calibri" w:hAnsi="Arial" w:cs="Calibri" w:hint="eastAsia"/>
          <w:bCs/>
          <w:kern w:val="0"/>
          <w:sz w:val="20"/>
          <w:szCs w:val="20"/>
          <w:lang w:val="en-US" w:eastAsia="zh-CN"/>
          <w14:ligatures w14:val="none"/>
        </w:rPr>
        <w:t>ang</w:t>
      </w:r>
      <w:r w:rsidRPr="00724B4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 F. et al (2005) J Biol Chem; 280(7):5892-901.</w:t>
      </w:r>
    </w:p>
    <w:p w14:paraId="6C9AAA46" w14:textId="7A0B15AC" w:rsidR="008156C9" w:rsidRPr="00C9259F" w:rsidRDefault="00343837" w:rsidP="00C9259F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Wan, K. et al (2020) </w:t>
      </w:r>
      <w:proofErr w:type="spellStart"/>
      <w:r w:rsidR="00C9259F" w:rsidRPr="00C9259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Eur</w:t>
      </w:r>
      <w:proofErr w:type="spellEnd"/>
      <w:r w:rsidR="00C9259F" w:rsidRPr="00C9259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J Pharm </w:t>
      </w:r>
      <w:proofErr w:type="spellStart"/>
      <w:r w:rsidR="00C9259F" w:rsidRPr="00C9259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Biopharm</w:t>
      </w:r>
      <w:proofErr w:type="spellEnd"/>
      <w:r w:rsidR="00C9259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; </w:t>
      </w:r>
      <w:r w:rsidR="00C9259F" w:rsidRPr="00C9259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149:238-247.</w:t>
      </w:r>
    </w:p>
    <w:p w14:paraId="7BEBFA79" w14:textId="77777777" w:rsidR="00640CA3" w:rsidRDefault="00640CA3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</w:p>
    <w:p w14:paraId="201945B1" w14:textId="57B78174" w:rsidR="00640CA3" w:rsidRDefault="003343D4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Cs/>
          <w:noProof/>
          <w:kern w:val="0"/>
          <w:sz w:val="20"/>
          <w:szCs w:val="20"/>
          <w:lang w:val="en-US"/>
        </w:rPr>
        <w:drawing>
          <wp:inline distT="0" distB="0" distL="0" distR="0" wp14:anchorId="35EE34DB" wp14:editId="4512DA58">
            <wp:extent cx="5731510" cy="1013460"/>
            <wp:effectExtent l="0" t="0" r="0" b="0"/>
            <wp:docPr id="1449489390" name="图片 1" descr="图表, 折线图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9489390" name="图片 1" descr="图表, 折线图&#10;&#10;AI 生成的内容可能不正确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72237" w14:textId="5D737451" w:rsidR="00450E71" w:rsidRPr="009B1CBB" w:rsidRDefault="00450E71" w:rsidP="00C315D2">
      <w:pPr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:lang w:val="en-GB"/>
          <w14:ligatures w14:val="none"/>
        </w:rPr>
        <w:t xml:space="preserve">Figure 1. </w:t>
      </w:r>
      <w:r w:rsidR="0001414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(A)</w:t>
      </w:r>
      <w:r w:rsidR="0001414A" w:rsidRPr="00E60EC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E</w:t>
      </w:r>
      <w:r w:rsidR="00E60ECA" w:rsidRPr="00E60EC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xemplary intensity-weighted size distribution</w:t>
      </w:r>
      <w:r w:rsidR="0001414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of nanosuspension; </w:t>
      </w:r>
      <w:r w:rsidR="00E60ECA" w:rsidRPr="00E60EC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(B) </w:t>
      </w:r>
      <w:r w:rsidR="00D13FC1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</w:t>
      </w:r>
      <w:r w:rsidR="00E60ECA" w:rsidRPr="00E60EC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olloidal stability profile</w:t>
      </w:r>
      <w:r w:rsidR="0001414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01414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of nanosuspension</w:t>
      </w:r>
      <w:r w:rsidR="00E60ECA" w:rsidRPr="00E60EC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(n = 3)</w:t>
      </w:r>
      <w:r w:rsidR="0001414A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; 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(</w:t>
      </w:r>
      <w:r w:rsidR="003E316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C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) Exemplary intensity-weighted size distribution of the nanosuspension and SIL-CUR nanosuspensions reconstituted from the optimal </w:t>
      </w:r>
      <w:r w:rsidR="000008D5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nanoagglomerated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powder formulation</w:t>
      </w:r>
      <w:r w:rsidR="003E3160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;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(D)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Scanning electron microscopy</w:t>
      </w:r>
      <w:r w:rsidR="000946BF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images of the optimal SIL-CUR </w:t>
      </w:r>
      <w:r w:rsidR="000008D5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nanoagglomerated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 xml:space="preserve"> powder at </w:t>
      </w:r>
      <w:r w:rsidR="002A670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*</w:t>
      </w:r>
      <w:r w:rsidR="00083E08" w:rsidRPr="00083E08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5000</w:t>
      </w:r>
      <w:r w:rsidR="002A6703">
        <w:rPr>
          <w:rFonts w:ascii="Arial" w:eastAsia="Calibri" w:hAnsi="Arial" w:cs="Calibri"/>
          <w:kern w:val="0"/>
          <w:sz w:val="20"/>
          <w:szCs w:val="20"/>
          <w:lang w:val="en-GB"/>
          <w14:ligatures w14:val="none"/>
        </w:rPr>
        <w:t>.</w:t>
      </w:r>
    </w:p>
    <w:sectPr w:rsidR="00450E71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D5921"/>
    <w:multiLevelType w:val="hybridMultilevel"/>
    <w:tmpl w:val="A50EB12A"/>
    <w:lvl w:ilvl="0" w:tplc="90F233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85596">
    <w:abstractNumId w:val="1"/>
  </w:num>
  <w:num w:numId="2" w16cid:durableId="168297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0008D5"/>
    <w:rsid w:val="000070C6"/>
    <w:rsid w:val="00012179"/>
    <w:rsid w:val="0001414A"/>
    <w:rsid w:val="00025CC3"/>
    <w:rsid w:val="00035711"/>
    <w:rsid w:val="00050C71"/>
    <w:rsid w:val="00055D43"/>
    <w:rsid w:val="00083E08"/>
    <w:rsid w:val="000946BF"/>
    <w:rsid w:val="000C4D3F"/>
    <w:rsid w:val="00103CA0"/>
    <w:rsid w:val="00104F8C"/>
    <w:rsid w:val="00107368"/>
    <w:rsid w:val="0011152A"/>
    <w:rsid w:val="00112F92"/>
    <w:rsid w:val="00113BB7"/>
    <w:rsid w:val="00114057"/>
    <w:rsid w:val="00167FCC"/>
    <w:rsid w:val="001D1C90"/>
    <w:rsid w:val="0020058A"/>
    <w:rsid w:val="002017E6"/>
    <w:rsid w:val="0022052B"/>
    <w:rsid w:val="002504AC"/>
    <w:rsid w:val="00255F0A"/>
    <w:rsid w:val="00267469"/>
    <w:rsid w:val="00294059"/>
    <w:rsid w:val="002A6703"/>
    <w:rsid w:val="003057D0"/>
    <w:rsid w:val="003063AC"/>
    <w:rsid w:val="003206E4"/>
    <w:rsid w:val="003217A8"/>
    <w:rsid w:val="00333039"/>
    <w:rsid w:val="003343D4"/>
    <w:rsid w:val="00343837"/>
    <w:rsid w:val="00356D1C"/>
    <w:rsid w:val="00366468"/>
    <w:rsid w:val="003915E8"/>
    <w:rsid w:val="003A6D5C"/>
    <w:rsid w:val="003C4C35"/>
    <w:rsid w:val="003E3160"/>
    <w:rsid w:val="003F6D7D"/>
    <w:rsid w:val="003F7EC0"/>
    <w:rsid w:val="004002CD"/>
    <w:rsid w:val="00450E71"/>
    <w:rsid w:val="00482573"/>
    <w:rsid w:val="00496D3E"/>
    <w:rsid w:val="004A51B6"/>
    <w:rsid w:val="004B1ECA"/>
    <w:rsid w:val="004B32C9"/>
    <w:rsid w:val="0050604E"/>
    <w:rsid w:val="00510CF8"/>
    <w:rsid w:val="00517CBE"/>
    <w:rsid w:val="00533638"/>
    <w:rsid w:val="005609E6"/>
    <w:rsid w:val="00575A29"/>
    <w:rsid w:val="005851F7"/>
    <w:rsid w:val="005D2303"/>
    <w:rsid w:val="005D5CDA"/>
    <w:rsid w:val="005E0AA2"/>
    <w:rsid w:val="00601754"/>
    <w:rsid w:val="00604306"/>
    <w:rsid w:val="00622FE6"/>
    <w:rsid w:val="00625BA0"/>
    <w:rsid w:val="00640CA3"/>
    <w:rsid w:val="00674BD6"/>
    <w:rsid w:val="006766AE"/>
    <w:rsid w:val="00682841"/>
    <w:rsid w:val="00691F7A"/>
    <w:rsid w:val="006A34BE"/>
    <w:rsid w:val="006A6B0E"/>
    <w:rsid w:val="006D5266"/>
    <w:rsid w:val="006F3F1C"/>
    <w:rsid w:val="00702E90"/>
    <w:rsid w:val="007141F2"/>
    <w:rsid w:val="00722BCF"/>
    <w:rsid w:val="00724B41"/>
    <w:rsid w:val="00724E44"/>
    <w:rsid w:val="00726D63"/>
    <w:rsid w:val="007561D8"/>
    <w:rsid w:val="00760124"/>
    <w:rsid w:val="00775EC3"/>
    <w:rsid w:val="00795378"/>
    <w:rsid w:val="00795F4E"/>
    <w:rsid w:val="00796206"/>
    <w:rsid w:val="007C367E"/>
    <w:rsid w:val="008071C5"/>
    <w:rsid w:val="008156C9"/>
    <w:rsid w:val="00841AA2"/>
    <w:rsid w:val="00864F7E"/>
    <w:rsid w:val="00883558"/>
    <w:rsid w:val="008956A7"/>
    <w:rsid w:val="008B21B3"/>
    <w:rsid w:val="008C5FC9"/>
    <w:rsid w:val="00901015"/>
    <w:rsid w:val="00903545"/>
    <w:rsid w:val="00906D34"/>
    <w:rsid w:val="00933DC9"/>
    <w:rsid w:val="00936D4C"/>
    <w:rsid w:val="009523F9"/>
    <w:rsid w:val="009650DF"/>
    <w:rsid w:val="009816D9"/>
    <w:rsid w:val="00992409"/>
    <w:rsid w:val="009B1595"/>
    <w:rsid w:val="009B1CBB"/>
    <w:rsid w:val="00A025C6"/>
    <w:rsid w:val="00A0516D"/>
    <w:rsid w:val="00A33235"/>
    <w:rsid w:val="00A52FA2"/>
    <w:rsid w:val="00A87357"/>
    <w:rsid w:val="00AD513B"/>
    <w:rsid w:val="00B45E00"/>
    <w:rsid w:val="00B4721D"/>
    <w:rsid w:val="00B57AA3"/>
    <w:rsid w:val="00B7158E"/>
    <w:rsid w:val="00B8473A"/>
    <w:rsid w:val="00B920D0"/>
    <w:rsid w:val="00BC5D6E"/>
    <w:rsid w:val="00BD521F"/>
    <w:rsid w:val="00BD5D96"/>
    <w:rsid w:val="00C21815"/>
    <w:rsid w:val="00C315D2"/>
    <w:rsid w:val="00C353D8"/>
    <w:rsid w:val="00C46075"/>
    <w:rsid w:val="00C75E39"/>
    <w:rsid w:val="00C918E2"/>
    <w:rsid w:val="00C9259F"/>
    <w:rsid w:val="00CB1C57"/>
    <w:rsid w:val="00CB2F3B"/>
    <w:rsid w:val="00CD0CD2"/>
    <w:rsid w:val="00CF5A91"/>
    <w:rsid w:val="00D02BB1"/>
    <w:rsid w:val="00D07E06"/>
    <w:rsid w:val="00D13FC1"/>
    <w:rsid w:val="00D45A74"/>
    <w:rsid w:val="00D644AD"/>
    <w:rsid w:val="00D7428F"/>
    <w:rsid w:val="00DB760B"/>
    <w:rsid w:val="00DC40C2"/>
    <w:rsid w:val="00DE10F3"/>
    <w:rsid w:val="00E55523"/>
    <w:rsid w:val="00E60ECA"/>
    <w:rsid w:val="00EA4DE9"/>
    <w:rsid w:val="00EC3746"/>
    <w:rsid w:val="00EF11D7"/>
    <w:rsid w:val="00F01065"/>
    <w:rsid w:val="00F147A4"/>
    <w:rsid w:val="00F26562"/>
    <w:rsid w:val="00F539FB"/>
    <w:rsid w:val="00F8078D"/>
    <w:rsid w:val="00F85528"/>
    <w:rsid w:val="00FA12EC"/>
    <w:rsid w:val="00FB02E4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15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050C7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50C71"/>
    <w:pPr>
      <w:spacing w:line="240" w:lineRule="auto"/>
    </w:pPr>
    <w:rPr>
      <w:sz w:val="20"/>
      <w:szCs w:val="20"/>
    </w:rPr>
  </w:style>
  <w:style w:type="character" w:customStyle="1" w:styleId="af0">
    <w:name w:val="批注文字 字符"/>
    <w:basedOn w:val="a0"/>
    <w:link w:val="af"/>
    <w:uiPriority w:val="99"/>
    <w:semiHidden/>
    <w:rsid w:val="00050C7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C71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050C71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050C71"/>
    <w:pPr>
      <w:spacing w:after="0" w:line="240" w:lineRule="auto"/>
    </w:pPr>
  </w:style>
  <w:style w:type="character" w:styleId="af4">
    <w:name w:val="Hyperlink"/>
    <w:basedOn w:val="a0"/>
    <w:uiPriority w:val="99"/>
    <w:semiHidden/>
    <w:unhideWhenUsed/>
    <w:rsid w:val="00050C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Zhang Xinyue</cp:lastModifiedBy>
  <cp:revision>113</cp:revision>
  <dcterms:created xsi:type="dcterms:W3CDTF">2025-03-11T02:17:00Z</dcterms:created>
  <dcterms:modified xsi:type="dcterms:W3CDTF">2025-05-29T09:20:00Z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