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9ED78" w14:textId="67B8D17B" w:rsidR="001A20DD" w:rsidRPr="005C3862" w:rsidRDefault="001A20DD" w:rsidP="001A20DD">
      <w:pPr>
        <w:jc w:val="both"/>
        <w:rPr>
          <w:rFonts w:asciiTheme="minorHAnsi" w:hAnsiTheme="minorHAnsi" w:cstheme="minorHAnsi"/>
          <w:b/>
          <w:sz w:val="20"/>
          <w:szCs w:val="20"/>
          <w:lang w:val="en-AU"/>
        </w:rPr>
      </w:pPr>
      <w:r w:rsidRPr="005C3862">
        <w:rPr>
          <w:rFonts w:asciiTheme="minorHAnsi" w:hAnsiTheme="minorHAnsi" w:cstheme="minorHAnsi"/>
          <w:b/>
          <w:sz w:val="20"/>
          <w:szCs w:val="20"/>
          <w:lang w:val="en-AU"/>
        </w:rPr>
        <w:t>Collaborative Online Learning using Wikis and Padlet in undergraduate Bioscience</w:t>
      </w:r>
    </w:p>
    <w:p w14:paraId="07BB4D8C" w14:textId="77777777" w:rsidR="001A20DD" w:rsidRPr="005C3862" w:rsidRDefault="001A20DD" w:rsidP="001A20DD">
      <w:pPr>
        <w:jc w:val="both"/>
        <w:rPr>
          <w:rFonts w:asciiTheme="minorHAnsi" w:hAnsiTheme="minorHAnsi" w:cstheme="minorHAnsi"/>
          <w:sz w:val="20"/>
          <w:szCs w:val="20"/>
          <w:lang w:val="en-AU"/>
        </w:rPr>
      </w:pPr>
    </w:p>
    <w:p w14:paraId="379AB4F9" w14:textId="5AA06051" w:rsidR="001A20DD" w:rsidRPr="005C3862" w:rsidRDefault="00C63271" w:rsidP="001A20DD">
      <w:pPr>
        <w:jc w:val="both"/>
        <w:rPr>
          <w:rFonts w:asciiTheme="minorHAnsi" w:hAnsiTheme="minorHAnsi" w:cstheme="minorHAnsi"/>
          <w:sz w:val="20"/>
          <w:szCs w:val="20"/>
          <w:lang w:val="en-AU"/>
        </w:rPr>
      </w:pPr>
      <w:r>
        <w:rPr>
          <w:rFonts w:asciiTheme="minorHAnsi" w:hAnsiTheme="minorHAnsi" w:cstheme="minorHAnsi"/>
          <w:sz w:val="20"/>
          <w:szCs w:val="20"/>
          <w:lang w:val="en-AU"/>
        </w:rPr>
        <w:t>Background</w:t>
      </w:r>
      <w:r w:rsidR="00DA7555">
        <w:rPr>
          <w:rFonts w:asciiTheme="minorHAnsi" w:hAnsiTheme="minorHAnsi" w:cstheme="minorHAnsi"/>
          <w:sz w:val="20"/>
          <w:szCs w:val="20"/>
          <w:lang w:val="en-AU"/>
        </w:rPr>
        <w:t xml:space="preserve"> and initiative:</w:t>
      </w:r>
      <w:r w:rsidR="001A20DD" w:rsidRPr="005C3862">
        <w:rPr>
          <w:rFonts w:asciiTheme="minorHAnsi" w:hAnsiTheme="minorHAnsi" w:cstheme="minorHAnsi"/>
          <w:sz w:val="20"/>
          <w:szCs w:val="20"/>
          <w:lang w:val="en-AU"/>
        </w:rPr>
        <w:t xml:space="preserve"> </w:t>
      </w:r>
      <w:r w:rsidR="001A20DD" w:rsidRPr="005C3862">
        <w:rPr>
          <w:rFonts w:asciiTheme="minorHAnsi" w:hAnsiTheme="minorHAnsi" w:cstheme="minorHAnsi"/>
          <w:sz w:val="20"/>
          <w:szCs w:val="20"/>
        </w:rPr>
        <w:t xml:space="preserve">Online learning has gained popularity in higher education </w:t>
      </w:r>
      <w:r w:rsidR="00BE05BC">
        <w:rPr>
          <w:rFonts w:asciiTheme="minorHAnsi" w:hAnsiTheme="minorHAnsi" w:cstheme="minorHAnsi"/>
          <w:sz w:val="20"/>
          <w:szCs w:val="20"/>
        </w:rPr>
        <w:t xml:space="preserve">and deemed highly important under the current pandemic crisis. </w:t>
      </w:r>
      <w:r w:rsidR="001A20DD" w:rsidRPr="005C3862">
        <w:rPr>
          <w:rFonts w:asciiTheme="minorHAnsi" w:hAnsiTheme="minorHAnsi" w:cstheme="minorHAnsi"/>
          <w:sz w:val="20"/>
          <w:szCs w:val="20"/>
        </w:rPr>
        <w:t xml:space="preserve">Positive pedagogical outcomes of online learning depend extensively on successful online learning communities. Central to this concept of an online learning community, therefore, is collaborative learning. According to </w:t>
      </w:r>
      <w:r w:rsidR="00250A67">
        <w:rPr>
          <w:rFonts w:ascii="Calibri" w:hAnsi="Calibri" w:cs="Calibri"/>
          <w:color w:val="000000"/>
          <w:sz w:val="22"/>
          <w:szCs w:val="22"/>
          <w:shd w:val="clear" w:color="auto" w:fill="FFFFFF"/>
        </w:rPr>
        <w:t>Bosch et al. (2019</w:t>
      </w:r>
      <w:r w:rsidR="001A20DD" w:rsidRPr="005C3862">
        <w:rPr>
          <w:rFonts w:asciiTheme="minorHAnsi" w:hAnsiTheme="minorHAnsi" w:cstheme="minorHAnsi"/>
          <w:noProof/>
          <w:sz w:val="20"/>
          <w:szCs w:val="20"/>
        </w:rPr>
        <w:t>)</w:t>
      </w:r>
      <w:r w:rsidR="001A20DD" w:rsidRPr="005C3862">
        <w:rPr>
          <w:rFonts w:asciiTheme="minorHAnsi" w:hAnsiTheme="minorHAnsi" w:cstheme="minorHAnsi"/>
          <w:sz w:val="20"/>
          <w:szCs w:val="20"/>
        </w:rPr>
        <w:t>, collaborative learning is a pedagogical approach that involves groups of learners working together towards a common goal</w:t>
      </w:r>
      <w:r w:rsidR="007F1374">
        <w:rPr>
          <w:rFonts w:asciiTheme="minorHAnsi" w:hAnsiTheme="minorHAnsi" w:cstheme="minorHAnsi"/>
          <w:sz w:val="20"/>
          <w:szCs w:val="20"/>
        </w:rPr>
        <w:t xml:space="preserve"> and involves a transformative digital space where critical and complex learning skills can be developed</w:t>
      </w:r>
      <w:r w:rsidR="001A20DD" w:rsidRPr="005C3862">
        <w:rPr>
          <w:rFonts w:asciiTheme="minorHAnsi" w:hAnsiTheme="minorHAnsi" w:cstheme="minorHAnsi"/>
          <w:sz w:val="20"/>
          <w:szCs w:val="20"/>
          <w:lang w:val="en-AU"/>
        </w:rPr>
        <w:t>.</w:t>
      </w:r>
      <w:r w:rsidR="005C3862" w:rsidRPr="005C3862">
        <w:rPr>
          <w:rFonts w:asciiTheme="minorHAnsi" w:hAnsiTheme="minorHAnsi" w:cstheme="minorHAnsi"/>
          <w:sz w:val="20"/>
          <w:szCs w:val="20"/>
          <w:lang w:val="en-AU"/>
        </w:rPr>
        <w:t xml:space="preserve"> </w:t>
      </w:r>
      <w:r w:rsidR="005C3862" w:rsidRPr="005C3862">
        <w:rPr>
          <w:rFonts w:asciiTheme="minorHAnsi" w:hAnsiTheme="minorHAnsi" w:cstheme="minorHAnsi"/>
          <w:sz w:val="20"/>
          <w:szCs w:val="20"/>
        </w:rPr>
        <w:t xml:space="preserve">Additionally, popular social Web 2.0 technologies such as wikis and </w:t>
      </w:r>
      <w:proofErr w:type="spellStart"/>
      <w:r w:rsidR="005C3862" w:rsidRPr="005C3862">
        <w:rPr>
          <w:rFonts w:asciiTheme="minorHAnsi" w:hAnsiTheme="minorHAnsi" w:cstheme="minorHAnsi"/>
          <w:sz w:val="20"/>
          <w:szCs w:val="20"/>
        </w:rPr>
        <w:t>padlet</w:t>
      </w:r>
      <w:proofErr w:type="spellEnd"/>
      <w:r w:rsidR="005C3862" w:rsidRPr="005C3862">
        <w:rPr>
          <w:rFonts w:asciiTheme="minorHAnsi" w:hAnsiTheme="minorHAnsi" w:cstheme="minorHAnsi"/>
          <w:sz w:val="20"/>
          <w:szCs w:val="20"/>
        </w:rPr>
        <w:t xml:space="preserve"> serve as mediators for collaborative online learning </w:t>
      </w:r>
      <w:r w:rsidR="005C3862" w:rsidRPr="005C3862">
        <w:rPr>
          <w:rFonts w:asciiTheme="minorHAnsi" w:hAnsiTheme="minorHAnsi" w:cstheme="minorHAnsi"/>
          <w:noProof/>
          <w:sz w:val="20"/>
          <w:szCs w:val="20"/>
        </w:rPr>
        <w:t>(Kear, Jones, Holden, &amp; Curcher, 2016; Korucu &amp; Cakir, 2018)</w:t>
      </w:r>
      <w:r w:rsidR="005C3862" w:rsidRPr="005C3862">
        <w:rPr>
          <w:rFonts w:asciiTheme="minorHAnsi" w:hAnsiTheme="minorHAnsi" w:cstheme="minorHAnsi"/>
          <w:sz w:val="20"/>
          <w:szCs w:val="20"/>
        </w:rPr>
        <w:t xml:space="preserve">. The effectiveness of collaborative tools can vary across face-to-face and online courses with more challenges encountered in the online courses </w:t>
      </w:r>
      <w:r w:rsidR="005C3862" w:rsidRPr="005C3862">
        <w:rPr>
          <w:rFonts w:asciiTheme="minorHAnsi" w:hAnsiTheme="minorHAnsi" w:cstheme="minorHAnsi"/>
          <w:noProof/>
          <w:sz w:val="20"/>
          <w:szCs w:val="20"/>
        </w:rPr>
        <w:t xml:space="preserve">(Thorpe, 2002). </w:t>
      </w:r>
      <w:r w:rsidR="005C3862" w:rsidRPr="005C3862">
        <w:rPr>
          <w:rFonts w:asciiTheme="minorHAnsi" w:hAnsiTheme="minorHAnsi" w:cstheme="minorHAnsi"/>
          <w:sz w:val="20"/>
          <w:szCs w:val="20"/>
        </w:rPr>
        <w:t>Knowing the significance of collaboration in online education, it is therefore critical to identify what works and what does not work in the online space. The approaches to collaboration in online space may need different approaches and a deeper ins</w:t>
      </w:r>
      <w:bookmarkStart w:id="0" w:name="_GoBack"/>
      <w:bookmarkEnd w:id="0"/>
      <w:r w:rsidR="005C3862" w:rsidRPr="005C3862">
        <w:rPr>
          <w:rFonts w:asciiTheme="minorHAnsi" w:hAnsiTheme="minorHAnsi" w:cstheme="minorHAnsi"/>
          <w:sz w:val="20"/>
          <w:szCs w:val="20"/>
        </w:rPr>
        <w:t>ight is essential to understand the functionality.</w:t>
      </w:r>
    </w:p>
    <w:p w14:paraId="451D8860" w14:textId="0B2FF3F9" w:rsidR="001A20DD" w:rsidRPr="005C3862" w:rsidRDefault="001A20DD" w:rsidP="001A20DD">
      <w:pPr>
        <w:jc w:val="both"/>
        <w:rPr>
          <w:rFonts w:asciiTheme="minorHAnsi" w:hAnsiTheme="minorHAnsi" w:cstheme="minorHAnsi"/>
          <w:sz w:val="20"/>
          <w:szCs w:val="20"/>
          <w:lang w:val="en-AU"/>
        </w:rPr>
      </w:pPr>
      <w:r w:rsidRPr="005C3862">
        <w:rPr>
          <w:rFonts w:asciiTheme="minorHAnsi" w:hAnsiTheme="minorHAnsi" w:cstheme="minorHAnsi"/>
          <w:sz w:val="20"/>
          <w:szCs w:val="20"/>
          <w:lang w:val="en-AU"/>
        </w:rPr>
        <w:t xml:space="preserve">Aims. </w:t>
      </w:r>
      <w:r w:rsidR="005C3862" w:rsidRPr="005C3862">
        <w:rPr>
          <w:rFonts w:asciiTheme="minorHAnsi" w:hAnsiTheme="minorHAnsi" w:cstheme="minorHAnsi"/>
          <w:sz w:val="20"/>
          <w:szCs w:val="20"/>
        </w:rPr>
        <w:t xml:space="preserve">The aim of this study was to investigate students’ perspectives on their collaborative online learning experience using digital tools such as </w:t>
      </w:r>
      <w:proofErr w:type="spellStart"/>
      <w:r w:rsidR="005C3862" w:rsidRPr="005C3862">
        <w:rPr>
          <w:rFonts w:asciiTheme="minorHAnsi" w:hAnsiTheme="minorHAnsi" w:cstheme="minorHAnsi"/>
          <w:sz w:val="20"/>
          <w:szCs w:val="20"/>
        </w:rPr>
        <w:t>padlet</w:t>
      </w:r>
      <w:proofErr w:type="spellEnd"/>
      <w:r w:rsidR="005C3862" w:rsidRPr="005C3862">
        <w:rPr>
          <w:rFonts w:asciiTheme="minorHAnsi" w:hAnsiTheme="minorHAnsi" w:cstheme="minorHAnsi"/>
          <w:sz w:val="20"/>
          <w:szCs w:val="20"/>
        </w:rPr>
        <w:t xml:space="preserve"> and wiki.</w:t>
      </w:r>
    </w:p>
    <w:p w14:paraId="1905B580" w14:textId="0D5F472A" w:rsidR="001A20DD" w:rsidRPr="005C3862" w:rsidRDefault="001A20DD" w:rsidP="001A20DD">
      <w:pPr>
        <w:jc w:val="both"/>
        <w:rPr>
          <w:rFonts w:asciiTheme="minorHAnsi" w:hAnsiTheme="minorHAnsi" w:cstheme="minorHAnsi"/>
          <w:sz w:val="20"/>
          <w:szCs w:val="20"/>
          <w:lang w:val="en-AU"/>
        </w:rPr>
      </w:pPr>
      <w:r w:rsidRPr="005C3862">
        <w:rPr>
          <w:rFonts w:asciiTheme="minorHAnsi" w:hAnsiTheme="minorHAnsi" w:cstheme="minorHAnsi"/>
          <w:sz w:val="20"/>
          <w:szCs w:val="20"/>
          <w:lang w:val="en-AU"/>
        </w:rPr>
        <w:t>Methods</w:t>
      </w:r>
      <w:r w:rsidR="00DA7555">
        <w:rPr>
          <w:rFonts w:asciiTheme="minorHAnsi" w:hAnsiTheme="minorHAnsi" w:cstheme="minorHAnsi"/>
          <w:sz w:val="20"/>
          <w:szCs w:val="20"/>
          <w:lang w:val="en-AU"/>
        </w:rPr>
        <w:t xml:space="preserve"> of evaluative data collection and analysis:</w:t>
      </w:r>
      <w:r w:rsidRPr="005C3862">
        <w:rPr>
          <w:rFonts w:asciiTheme="minorHAnsi" w:hAnsiTheme="minorHAnsi" w:cstheme="minorHAnsi"/>
          <w:sz w:val="20"/>
          <w:szCs w:val="20"/>
          <w:lang w:val="en-AU"/>
        </w:rPr>
        <w:t xml:space="preserve"> </w:t>
      </w:r>
      <w:r w:rsidR="005C3862" w:rsidRPr="005C3862">
        <w:rPr>
          <w:rFonts w:asciiTheme="minorHAnsi" w:hAnsiTheme="minorHAnsi" w:cstheme="minorHAnsi"/>
          <w:sz w:val="20"/>
          <w:szCs w:val="20"/>
        </w:rPr>
        <w:t>A pre and post survey was conducted to address the research problem</w:t>
      </w:r>
      <w:r w:rsidRPr="005C3862">
        <w:rPr>
          <w:rFonts w:asciiTheme="minorHAnsi" w:hAnsiTheme="minorHAnsi" w:cstheme="minorHAnsi"/>
          <w:sz w:val="20"/>
          <w:szCs w:val="20"/>
          <w:lang w:val="en-AU"/>
        </w:rPr>
        <w:t>.</w:t>
      </w:r>
      <w:r w:rsidR="005C3862" w:rsidRPr="005C3862">
        <w:rPr>
          <w:rFonts w:asciiTheme="minorHAnsi" w:hAnsiTheme="minorHAnsi" w:cstheme="minorHAnsi"/>
          <w:sz w:val="20"/>
          <w:szCs w:val="20"/>
          <w:lang w:val="en-AU"/>
        </w:rPr>
        <w:t xml:space="preserve"> </w:t>
      </w:r>
      <w:r w:rsidR="005C3862" w:rsidRPr="005C3862">
        <w:rPr>
          <w:rFonts w:asciiTheme="minorHAnsi" w:hAnsiTheme="minorHAnsi" w:cstheme="minorHAnsi"/>
          <w:sz w:val="20"/>
          <w:szCs w:val="20"/>
        </w:rPr>
        <w:t xml:space="preserve">Perceptions were gathered across six main fronts: content knowledge, self-efficacy, student interaction, higher-order thinking skills, group dynamics, and meta-cognition. Furthermore, academic grades were compared following the use of </w:t>
      </w:r>
      <w:proofErr w:type="spellStart"/>
      <w:r w:rsidR="005C3862" w:rsidRPr="005C3862">
        <w:rPr>
          <w:rFonts w:asciiTheme="minorHAnsi" w:hAnsiTheme="minorHAnsi" w:cstheme="minorHAnsi"/>
          <w:sz w:val="20"/>
          <w:szCs w:val="20"/>
        </w:rPr>
        <w:t>padlet</w:t>
      </w:r>
      <w:proofErr w:type="spellEnd"/>
      <w:r w:rsidR="005C3862" w:rsidRPr="005C3862">
        <w:rPr>
          <w:rFonts w:asciiTheme="minorHAnsi" w:hAnsiTheme="minorHAnsi" w:cstheme="minorHAnsi"/>
          <w:sz w:val="20"/>
          <w:szCs w:val="20"/>
        </w:rPr>
        <w:t xml:space="preserve"> and wiki.</w:t>
      </w:r>
    </w:p>
    <w:p w14:paraId="0B10B530" w14:textId="1C679BEF" w:rsidR="001A20DD" w:rsidRPr="005C3862" w:rsidRDefault="00DA7555" w:rsidP="001A20DD">
      <w:pPr>
        <w:jc w:val="both"/>
        <w:rPr>
          <w:rFonts w:asciiTheme="minorHAnsi" w:hAnsiTheme="minorHAnsi" w:cstheme="minorHAnsi"/>
          <w:sz w:val="20"/>
          <w:szCs w:val="20"/>
          <w:lang w:val="en-AU"/>
        </w:rPr>
      </w:pPr>
      <w:r>
        <w:rPr>
          <w:rFonts w:asciiTheme="minorHAnsi" w:hAnsiTheme="minorHAnsi" w:cstheme="minorHAnsi"/>
          <w:sz w:val="20"/>
          <w:szCs w:val="20"/>
          <w:lang w:val="en-AU"/>
        </w:rPr>
        <w:t>Evidence of outcomes and effectiveness:</w:t>
      </w:r>
      <w:r w:rsidR="001A20DD" w:rsidRPr="005C3862">
        <w:rPr>
          <w:rFonts w:asciiTheme="minorHAnsi" w:hAnsiTheme="minorHAnsi" w:cstheme="minorHAnsi"/>
          <w:sz w:val="20"/>
          <w:szCs w:val="20"/>
          <w:lang w:val="en-AU"/>
        </w:rPr>
        <w:t xml:space="preserve"> </w:t>
      </w:r>
      <w:r w:rsidR="005C3862" w:rsidRPr="005C3862">
        <w:rPr>
          <w:rFonts w:asciiTheme="minorHAnsi" w:hAnsiTheme="minorHAnsi" w:cstheme="minorHAnsi"/>
          <w:sz w:val="20"/>
          <w:szCs w:val="20"/>
        </w:rPr>
        <w:t xml:space="preserve">Results of the study revealed significant differences in </w:t>
      </w:r>
      <w:proofErr w:type="spellStart"/>
      <w:r w:rsidR="005C3862" w:rsidRPr="005C3862">
        <w:rPr>
          <w:rFonts w:asciiTheme="minorHAnsi" w:hAnsiTheme="minorHAnsi" w:cstheme="minorHAnsi"/>
          <w:sz w:val="20"/>
          <w:szCs w:val="20"/>
        </w:rPr>
        <w:t>favour</w:t>
      </w:r>
      <w:proofErr w:type="spellEnd"/>
      <w:r w:rsidR="005C3862" w:rsidRPr="005C3862">
        <w:rPr>
          <w:rFonts w:asciiTheme="minorHAnsi" w:hAnsiTheme="minorHAnsi" w:cstheme="minorHAnsi"/>
          <w:sz w:val="20"/>
          <w:szCs w:val="20"/>
        </w:rPr>
        <w:t xml:space="preserve"> of </w:t>
      </w:r>
      <w:proofErr w:type="spellStart"/>
      <w:r w:rsidR="005C3862" w:rsidRPr="005C3862">
        <w:rPr>
          <w:rFonts w:asciiTheme="minorHAnsi" w:hAnsiTheme="minorHAnsi" w:cstheme="minorHAnsi"/>
          <w:sz w:val="20"/>
          <w:szCs w:val="20"/>
        </w:rPr>
        <w:t>padlet</w:t>
      </w:r>
      <w:proofErr w:type="spellEnd"/>
      <w:r w:rsidR="005C3862" w:rsidRPr="005C3862">
        <w:rPr>
          <w:rFonts w:asciiTheme="minorHAnsi" w:hAnsiTheme="minorHAnsi" w:cstheme="minorHAnsi"/>
          <w:sz w:val="20"/>
          <w:szCs w:val="20"/>
        </w:rPr>
        <w:t xml:space="preserve"> indicating major change in perceptions after use in comparison to wiki. Additionally, results indicated that processes involved in collaborative practices using wiki can significantly predict the exam scores. </w:t>
      </w:r>
    </w:p>
    <w:p w14:paraId="1B03A312" w14:textId="415EB0F3" w:rsidR="001A20DD" w:rsidRDefault="001A20DD" w:rsidP="001A20DD">
      <w:pPr>
        <w:jc w:val="both"/>
        <w:rPr>
          <w:rFonts w:asciiTheme="minorHAnsi" w:hAnsiTheme="minorHAnsi" w:cstheme="minorHAnsi"/>
          <w:sz w:val="20"/>
          <w:szCs w:val="20"/>
          <w:lang w:val="en-AU"/>
        </w:rPr>
      </w:pPr>
      <w:r w:rsidRPr="005C3862">
        <w:rPr>
          <w:rFonts w:asciiTheme="minorHAnsi" w:hAnsiTheme="minorHAnsi" w:cstheme="minorHAnsi"/>
          <w:sz w:val="20"/>
          <w:szCs w:val="20"/>
          <w:lang w:val="en-AU"/>
        </w:rPr>
        <w:t xml:space="preserve">Discussion. </w:t>
      </w:r>
      <w:r w:rsidR="005C3862" w:rsidRPr="005C3862">
        <w:rPr>
          <w:rFonts w:asciiTheme="minorHAnsi" w:hAnsiTheme="minorHAnsi" w:cstheme="minorHAnsi"/>
          <w:sz w:val="20"/>
          <w:szCs w:val="20"/>
        </w:rPr>
        <w:t xml:space="preserve">The findings of the study reveal digital tools such as </w:t>
      </w:r>
      <w:proofErr w:type="spellStart"/>
      <w:r w:rsidR="005C3862" w:rsidRPr="005C3862">
        <w:rPr>
          <w:rFonts w:asciiTheme="minorHAnsi" w:hAnsiTheme="minorHAnsi" w:cstheme="minorHAnsi"/>
          <w:sz w:val="20"/>
          <w:szCs w:val="20"/>
        </w:rPr>
        <w:t>padlet</w:t>
      </w:r>
      <w:proofErr w:type="spellEnd"/>
      <w:r w:rsidR="005C3862" w:rsidRPr="005C3862">
        <w:rPr>
          <w:rFonts w:asciiTheme="minorHAnsi" w:hAnsiTheme="minorHAnsi" w:cstheme="minorHAnsi"/>
          <w:sz w:val="20"/>
          <w:szCs w:val="20"/>
        </w:rPr>
        <w:t xml:space="preserve"> and wiki have the potential to influence positive pedagogical outcomes through </w:t>
      </w:r>
      <w:r w:rsidR="00250A67">
        <w:rPr>
          <w:rFonts w:asciiTheme="minorHAnsi" w:hAnsiTheme="minorHAnsi" w:cstheme="minorHAnsi"/>
          <w:sz w:val="20"/>
          <w:szCs w:val="20"/>
        </w:rPr>
        <w:t xml:space="preserve">learning </w:t>
      </w:r>
      <w:r w:rsidR="005C3862" w:rsidRPr="005C3862">
        <w:rPr>
          <w:rFonts w:asciiTheme="minorHAnsi" w:hAnsiTheme="minorHAnsi" w:cstheme="minorHAnsi"/>
          <w:sz w:val="20"/>
          <w:szCs w:val="20"/>
        </w:rPr>
        <w:t>processes that are involved in enhancing knowledge, self-efficacy, higher-order thinking skills and meta-cognition</w:t>
      </w:r>
      <w:r w:rsidRPr="005C3862">
        <w:rPr>
          <w:rFonts w:asciiTheme="minorHAnsi" w:hAnsiTheme="minorHAnsi" w:cstheme="minorHAnsi"/>
          <w:sz w:val="20"/>
          <w:szCs w:val="20"/>
          <w:lang w:val="en-AU"/>
        </w:rPr>
        <w:t>.</w:t>
      </w:r>
    </w:p>
    <w:p w14:paraId="6BB8E23B" w14:textId="538A6ED8" w:rsidR="004D4BBE" w:rsidRDefault="00C51264" w:rsidP="00363CEC">
      <w:pPr>
        <w:jc w:val="both"/>
        <w:rPr>
          <w:rFonts w:asciiTheme="minorHAnsi" w:hAnsiTheme="minorHAnsi" w:cstheme="minorHAnsi"/>
          <w:sz w:val="20"/>
          <w:szCs w:val="20"/>
          <w:lang w:val="en-AU"/>
        </w:rPr>
      </w:pPr>
      <w:r>
        <w:rPr>
          <w:rFonts w:asciiTheme="minorHAnsi" w:hAnsiTheme="minorHAnsi" w:cstheme="minorHAnsi"/>
          <w:sz w:val="20"/>
          <w:szCs w:val="20"/>
          <w:lang w:val="en-AU"/>
        </w:rPr>
        <w:t xml:space="preserve">Relevance to the conference theme: </w:t>
      </w:r>
      <w:r w:rsidR="00363CEC">
        <w:rPr>
          <w:rFonts w:asciiTheme="minorHAnsi" w:hAnsiTheme="minorHAnsi" w:cstheme="minorHAnsi"/>
          <w:sz w:val="20"/>
          <w:szCs w:val="20"/>
          <w:lang w:val="en-AU"/>
        </w:rPr>
        <w:t>This study relates to the theme ‘Teaching, Learning and Student Experience’ as collaborative learning using digital tools can reap positive pedagogical outcomes for online education.</w:t>
      </w:r>
    </w:p>
    <w:p w14:paraId="00CB3E0C" w14:textId="5B4538B6" w:rsidR="00CB7366" w:rsidRDefault="00CB7366" w:rsidP="00363CEC">
      <w:pPr>
        <w:jc w:val="both"/>
        <w:rPr>
          <w:rFonts w:asciiTheme="minorHAnsi" w:hAnsiTheme="minorHAnsi" w:cstheme="minorHAnsi"/>
          <w:sz w:val="20"/>
          <w:szCs w:val="20"/>
          <w:lang w:val="en-AU"/>
        </w:rPr>
      </w:pPr>
    </w:p>
    <w:p w14:paraId="099D757D" w14:textId="0B5138E1" w:rsidR="00CB7366" w:rsidRDefault="00CB7366" w:rsidP="00363CEC">
      <w:pPr>
        <w:jc w:val="both"/>
        <w:rPr>
          <w:rFonts w:asciiTheme="minorHAnsi" w:hAnsiTheme="minorHAnsi" w:cstheme="minorHAnsi"/>
          <w:sz w:val="20"/>
          <w:szCs w:val="20"/>
          <w:lang w:val="en-AU"/>
        </w:rPr>
      </w:pPr>
      <w:r>
        <w:rPr>
          <w:rFonts w:asciiTheme="minorHAnsi" w:hAnsiTheme="minorHAnsi" w:cstheme="minorHAnsi"/>
          <w:sz w:val="20"/>
          <w:szCs w:val="20"/>
          <w:lang w:val="en-AU"/>
        </w:rPr>
        <w:t xml:space="preserve">References: </w:t>
      </w:r>
    </w:p>
    <w:p w14:paraId="3E28F635" w14:textId="77777777" w:rsidR="00250A67" w:rsidRPr="00250A67" w:rsidRDefault="00250A67" w:rsidP="00CB7366">
      <w:pPr>
        <w:pStyle w:val="EndNoteBibliography"/>
        <w:spacing w:after="0"/>
        <w:ind w:left="720" w:hanging="720"/>
        <w:jc w:val="both"/>
        <w:rPr>
          <w:sz w:val="20"/>
          <w:szCs w:val="20"/>
        </w:rPr>
      </w:pPr>
      <w:r w:rsidRPr="00250A67">
        <w:rPr>
          <w:rFonts w:cs="Calibri"/>
          <w:color w:val="000000"/>
          <w:sz w:val="20"/>
          <w:szCs w:val="20"/>
          <w:shd w:val="clear" w:color="auto" w:fill="FFFFFF"/>
        </w:rPr>
        <w:t>Bosch, C., Mentz, E., &amp; Reitsma, G. M. (2019). Integrating cooperative learning into the combined blended learning design model: Implications for students' intrinsic motivation. </w:t>
      </w:r>
      <w:r w:rsidRPr="00250A67">
        <w:rPr>
          <w:rFonts w:cs="Calibri"/>
          <w:i/>
          <w:iCs/>
          <w:color w:val="000000"/>
          <w:sz w:val="20"/>
          <w:szCs w:val="20"/>
          <w:shd w:val="clear" w:color="auto" w:fill="FFFFFF"/>
        </w:rPr>
        <w:t>International Journal of Mobile and Blended Learning (IJMBL), 11</w:t>
      </w:r>
      <w:r w:rsidRPr="00250A67">
        <w:rPr>
          <w:rFonts w:cs="Calibri"/>
          <w:color w:val="000000"/>
          <w:sz w:val="20"/>
          <w:szCs w:val="20"/>
          <w:shd w:val="clear" w:color="auto" w:fill="FFFFFF"/>
        </w:rPr>
        <w:t>(1), 58-73. </w:t>
      </w:r>
      <w:hyperlink r:id="rId4" w:tgtFrame="_blank" w:history="1">
        <w:r w:rsidRPr="00250A67">
          <w:rPr>
            <w:rStyle w:val="Hyperlink"/>
            <w:rFonts w:cs="Calibri"/>
            <w:sz w:val="20"/>
            <w:szCs w:val="20"/>
            <w:bdr w:val="none" w:sz="0" w:space="0" w:color="auto" w:frame="1"/>
            <w:shd w:val="clear" w:color="auto" w:fill="FFFFFF"/>
          </w:rPr>
          <w:t>https://doi.org/10.4018/IJMBL.2019010105</w:t>
        </w:r>
      </w:hyperlink>
    </w:p>
    <w:p w14:paraId="0104DA3E" w14:textId="3D108772" w:rsidR="00CB7366" w:rsidRPr="00CB7366" w:rsidRDefault="00CB7366" w:rsidP="00CB7366">
      <w:pPr>
        <w:pStyle w:val="EndNoteBibliography"/>
        <w:spacing w:after="0"/>
        <w:ind w:left="720" w:hanging="720"/>
        <w:jc w:val="both"/>
        <w:rPr>
          <w:rFonts w:asciiTheme="minorHAnsi" w:hAnsiTheme="minorHAnsi" w:cstheme="minorHAnsi"/>
          <w:sz w:val="20"/>
          <w:szCs w:val="20"/>
        </w:rPr>
      </w:pPr>
      <w:r w:rsidRPr="00CB7366">
        <w:rPr>
          <w:rFonts w:asciiTheme="minorHAnsi" w:hAnsiTheme="minorHAnsi" w:cstheme="minorHAnsi"/>
          <w:sz w:val="20"/>
          <w:szCs w:val="20"/>
        </w:rPr>
        <w:t xml:space="preserve">Kear, K., Jones, A., Holden, G., &amp; Curcher, M. (2016). Social technologies for online learning: theoretical and contextual issues. </w:t>
      </w:r>
      <w:r w:rsidRPr="00CB7366">
        <w:rPr>
          <w:rFonts w:asciiTheme="minorHAnsi" w:hAnsiTheme="minorHAnsi" w:cstheme="minorHAnsi"/>
          <w:i/>
          <w:sz w:val="20"/>
          <w:szCs w:val="20"/>
        </w:rPr>
        <w:t>Open Learning, 31</w:t>
      </w:r>
      <w:r w:rsidRPr="00CB7366">
        <w:rPr>
          <w:rFonts w:asciiTheme="minorHAnsi" w:hAnsiTheme="minorHAnsi" w:cstheme="minorHAnsi"/>
          <w:sz w:val="20"/>
          <w:szCs w:val="20"/>
        </w:rPr>
        <w:t>(1), 42-53. doi:10.1080/02680513.2016.1140570</w:t>
      </w:r>
    </w:p>
    <w:p w14:paraId="545E9E86" w14:textId="4CF46620" w:rsidR="00CB7366" w:rsidRPr="00CB7366" w:rsidRDefault="00CB7366" w:rsidP="00CB7366">
      <w:pPr>
        <w:pStyle w:val="EndNoteBibliography"/>
        <w:spacing w:after="0"/>
        <w:ind w:left="720" w:hanging="720"/>
        <w:jc w:val="both"/>
        <w:rPr>
          <w:rFonts w:asciiTheme="minorHAnsi" w:hAnsiTheme="minorHAnsi" w:cstheme="minorHAnsi"/>
          <w:sz w:val="20"/>
          <w:szCs w:val="20"/>
        </w:rPr>
      </w:pPr>
      <w:r w:rsidRPr="00CB7366">
        <w:rPr>
          <w:rFonts w:asciiTheme="minorHAnsi" w:hAnsiTheme="minorHAnsi" w:cstheme="minorHAnsi"/>
          <w:sz w:val="20"/>
          <w:szCs w:val="20"/>
        </w:rPr>
        <w:t xml:space="preserve">Korucu, A. T., &amp; Cakir, H. (2018). The Effect of Dynamic Web Technologies on Student Academic Achievement in Problem-Based Collaborative Learning Environment. </w:t>
      </w:r>
      <w:r w:rsidRPr="00CB7366">
        <w:rPr>
          <w:rFonts w:asciiTheme="minorHAnsi" w:hAnsiTheme="minorHAnsi" w:cstheme="minorHAnsi"/>
          <w:i/>
          <w:sz w:val="20"/>
          <w:szCs w:val="20"/>
        </w:rPr>
        <w:t>Malaysian Online Journal of Educational Technology, 6</w:t>
      </w:r>
      <w:r w:rsidRPr="00CB7366">
        <w:rPr>
          <w:rFonts w:asciiTheme="minorHAnsi" w:hAnsiTheme="minorHAnsi" w:cstheme="minorHAnsi"/>
          <w:sz w:val="20"/>
          <w:szCs w:val="20"/>
        </w:rPr>
        <w:t>(1), 92-108</w:t>
      </w:r>
    </w:p>
    <w:p w14:paraId="57D4A3EB" w14:textId="77777777" w:rsidR="00DA7555" w:rsidRPr="00DA7555" w:rsidRDefault="00DA7555" w:rsidP="00DA7555">
      <w:pPr>
        <w:pStyle w:val="EndNoteBibliography"/>
        <w:spacing w:after="0"/>
        <w:ind w:left="720" w:hanging="720"/>
        <w:jc w:val="both"/>
        <w:rPr>
          <w:rFonts w:asciiTheme="minorHAnsi" w:hAnsiTheme="minorHAnsi" w:cstheme="minorHAnsi"/>
          <w:sz w:val="20"/>
          <w:szCs w:val="20"/>
        </w:rPr>
      </w:pPr>
      <w:r w:rsidRPr="00DA7555">
        <w:rPr>
          <w:rFonts w:asciiTheme="minorHAnsi" w:hAnsiTheme="minorHAnsi" w:cstheme="minorHAnsi"/>
          <w:sz w:val="20"/>
          <w:szCs w:val="20"/>
        </w:rPr>
        <w:t xml:space="preserve">Thorpe, M. (2002). Rethinking Learner Support: the challenge of collaborative online learning. </w:t>
      </w:r>
      <w:r w:rsidRPr="00DA7555">
        <w:rPr>
          <w:rFonts w:asciiTheme="minorHAnsi" w:hAnsiTheme="minorHAnsi" w:cstheme="minorHAnsi"/>
          <w:i/>
          <w:sz w:val="20"/>
          <w:szCs w:val="20"/>
        </w:rPr>
        <w:t>Open Learning, 17</w:t>
      </w:r>
      <w:r w:rsidRPr="00DA7555">
        <w:rPr>
          <w:rFonts w:asciiTheme="minorHAnsi" w:hAnsiTheme="minorHAnsi" w:cstheme="minorHAnsi"/>
          <w:sz w:val="20"/>
          <w:szCs w:val="20"/>
        </w:rPr>
        <w:t>(2), 105-119. doi:10.1080/02680510220146887a</w:t>
      </w:r>
    </w:p>
    <w:p w14:paraId="11975386" w14:textId="77777777" w:rsidR="00CB7366" w:rsidRDefault="00CB7366" w:rsidP="00363CEC">
      <w:pPr>
        <w:jc w:val="both"/>
        <w:rPr>
          <w:rFonts w:asciiTheme="minorHAnsi" w:hAnsiTheme="minorHAnsi" w:cstheme="minorHAnsi"/>
          <w:sz w:val="20"/>
          <w:szCs w:val="20"/>
          <w:lang w:val="en-AU"/>
        </w:rPr>
      </w:pPr>
    </w:p>
    <w:p w14:paraId="50E0CDD5" w14:textId="77777777" w:rsidR="00CB7366" w:rsidRPr="00363CEC" w:rsidRDefault="00CB7366" w:rsidP="00363CEC">
      <w:pPr>
        <w:jc w:val="both"/>
        <w:rPr>
          <w:rFonts w:asciiTheme="minorHAnsi" w:hAnsiTheme="minorHAnsi" w:cstheme="minorHAnsi"/>
          <w:sz w:val="20"/>
          <w:szCs w:val="20"/>
          <w:lang w:val="en-AU"/>
        </w:rPr>
      </w:pPr>
    </w:p>
    <w:sectPr w:rsidR="00CB7366" w:rsidRPr="00363CEC" w:rsidSect="00EF12F3">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0DD"/>
    <w:rsid w:val="001A20DD"/>
    <w:rsid w:val="00250A67"/>
    <w:rsid w:val="00363CEC"/>
    <w:rsid w:val="005C3862"/>
    <w:rsid w:val="007F1374"/>
    <w:rsid w:val="008F7E7C"/>
    <w:rsid w:val="00BE05BC"/>
    <w:rsid w:val="00C34DAC"/>
    <w:rsid w:val="00C51264"/>
    <w:rsid w:val="00C63271"/>
    <w:rsid w:val="00CB7366"/>
    <w:rsid w:val="00DA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449CE"/>
  <w15:chartTrackingRefBased/>
  <w15:docId w15:val="{1BFF3580-BD9F-4D0F-BC2F-0211CEDF0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0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20DD"/>
    <w:pPr>
      <w:widowControl w:val="0"/>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1A20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0DD"/>
    <w:rPr>
      <w:rFonts w:ascii="Segoe UI" w:eastAsia="Times New Roman" w:hAnsi="Segoe UI" w:cs="Segoe UI"/>
      <w:sz w:val="18"/>
      <w:szCs w:val="18"/>
    </w:rPr>
  </w:style>
  <w:style w:type="paragraph" w:customStyle="1" w:styleId="EndNoteBibliography">
    <w:name w:val="EndNote Bibliography"/>
    <w:basedOn w:val="Normal"/>
    <w:link w:val="EndNoteBibliographyChar"/>
    <w:rsid w:val="00CB7366"/>
    <w:pPr>
      <w:spacing w:after="160"/>
      <w:jc w:val="center"/>
    </w:pPr>
    <w:rPr>
      <w:rFonts w:ascii="Calibri" w:eastAsiaTheme="minorHAnsi" w:hAnsi="Calibri" w:cstheme="minorBidi"/>
      <w:noProof/>
      <w:sz w:val="22"/>
      <w:szCs w:val="22"/>
    </w:rPr>
  </w:style>
  <w:style w:type="character" w:customStyle="1" w:styleId="EndNoteBibliographyChar">
    <w:name w:val="EndNote Bibliography Char"/>
    <w:basedOn w:val="DefaultParagraphFont"/>
    <w:link w:val="EndNoteBibliography"/>
    <w:rsid w:val="00CB7366"/>
    <w:rPr>
      <w:rFonts w:ascii="Calibri" w:hAnsi="Calibri"/>
      <w:noProof/>
    </w:rPr>
  </w:style>
  <w:style w:type="character" w:styleId="Hyperlink">
    <w:name w:val="Hyperlink"/>
    <w:basedOn w:val="DefaultParagraphFont"/>
    <w:uiPriority w:val="99"/>
    <w:semiHidden/>
    <w:unhideWhenUsed/>
    <w:rsid w:val="00250A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tect-au.mimecast.com/s/YLryCBNqXAiJNppSz97Tv?domain=do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Endeavour College of Natural Health</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Tirtha Goradia</dc:creator>
  <cp:keywords/>
  <dc:description/>
  <cp:lastModifiedBy>Tirtha Goradia</cp:lastModifiedBy>
  <cp:revision>5</cp:revision>
  <dcterms:created xsi:type="dcterms:W3CDTF">2020-11-20T01:25:00Z</dcterms:created>
  <dcterms:modified xsi:type="dcterms:W3CDTF">2020-11-26T01:56:00Z</dcterms:modified>
</cp:coreProperties>
</file>