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294F" w14:textId="7E03115B" w:rsidR="00B16FEB" w:rsidRPr="00A17E55" w:rsidRDefault="00B16FEB" w:rsidP="000719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Repurposing </w:t>
      </w:r>
      <w:proofErr w:type="spellStart"/>
      <w:r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C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yclovirobuxine</w:t>
      </w:r>
      <w:proofErr w:type="spellEnd"/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D as a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N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ovel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I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nhibitor of</w:t>
      </w:r>
      <w:r w:rsidR="00071972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 xml:space="preserve">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C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olorectal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C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ancer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P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rogression via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M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odulating the CCT3/YAP </w:t>
      </w:r>
      <w:r w:rsidR="00C521F4" w:rsidRPr="00A17E55">
        <w:rPr>
          <w:rFonts w:ascii="Arial" w:eastAsia="Calibri" w:hAnsi="Arial" w:cs="Calibri" w:hint="eastAsia"/>
          <w:b/>
          <w:bCs/>
          <w:kern w:val="0"/>
          <w:lang w:val="en-US"/>
          <w14:ligatures w14:val="none"/>
        </w:rPr>
        <w:t>A</w:t>
      </w:r>
      <w:r w:rsidRPr="00A17E5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xis</w:t>
      </w:r>
    </w:p>
    <w:p w14:paraId="2DD37039" w14:textId="1264F912" w:rsidR="00C315D2" w:rsidRDefault="00091526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</w:pPr>
      <w:proofErr w:type="spellStart"/>
      <w:r>
        <w:rPr>
          <w:rFonts w:ascii="Arial" w:eastAsia="Calibri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Yiman</w:t>
      </w:r>
      <w:proofErr w:type="spellEnd"/>
      <w:r>
        <w:rPr>
          <w:rFonts w:ascii="Arial" w:eastAsia="Calibri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 xml:space="preserve"> Liu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Shuangshuang</w:t>
      </w:r>
      <w:proofErr w:type="spellEnd"/>
      <w:r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Yin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, Yingying Shao</w:t>
      </w:r>
      <w:r w:rsidR="00C57C4E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, </w:t>
      </w:r>
      <w:proofErr w:type="spellStart"/>
      <w:r w:rsidR="00C57C4E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Jiayan</w:t>
      </w:r>
      <w:proofErr w:type="spellEnd"/>
      <w:r w:rsidR="00C57C4E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Huang</w:t>
      </w:r>
      <w:r w:rsidR="00C57C4E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57C4E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, Haiyang Yu</w:t>
      </w:r>
      <w:r w:rsidR="00C57C4E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57C4E"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*</w:t>
      </w:r>
    </w:p>
    <w:p w14:paraId="7B538C3A" w14:textId="77777777" w:rsidR="00B30B72" w:rsidRPr="00B30B72" w:rsidRDefault="00B30B7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</w:pPr>
    </w:p>
    <w:p w14:paraId="2C3983E6" w14:textId="1B80BF0E" w:rsidR="00692E70" w:rsidRPr="00692E70" w:rsidRDefault="00692E70" w:rsidP="00692E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92E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State Key Laboratory of Component-based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692E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Chinese Medicine, Tianjin University of</w:t>
      </w:r>
    </w:p>
    <w:p w14:paraId="0B3122CD" w14:textId="2B07A930" w:rsidR="00692E70" w:rsidRPr="00692E70" w:rsidRDefault="00692E70" w:rsidP="00692E70">
      <w:pPr>
        <w:spacing w:after="0" w:line="240" w:lineRule="auto"/>
        <w:rPr>
          <w:rFonts w:ascii="微软雅黑" w:eastAsia="微软雅黑" w:hAnsi="微软雅黑" w:cs="微软雅黑"/>
          <w:bCs/>
          <w:kern w:val="0"/>
          <w:sz w:val="20"/>
          <w:szCs w:val="20"/>
          <w:lang w:eastAsia="zh-CN"/>
          <w14:ligatures w14:val="none"/>
        </w:rPr>
      </w:pPr>
      <w:r w:rsidRPr="00692E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Traditional Chinese Medicine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692E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Tianjin, </w:t>
      </w:r>
      <w:proofErr w:type="gramStart"/>
      <w:r w:rsidRPr="00692E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China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577BA47C" w14:textId="677F5CBE" w:rsidR="00692E70" w:rsidRPr="00B30B72" w:rsidRDefault="00B30B72" w:rsidP="00B30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30B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Medicine, Nankai University</w:t>
      </w:r>
      <w:r>
        <w:rPr>
          <w:rFonts w:ascii="Arial" w:eastAsia="Calibri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 w:rsidRPr="00B30B7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Tianjin 300071, China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EB81A13" w14:textId="77777777" w:rsidR="00692E70" w:rsidRPr="00B30B72" w:rsidRDefault="00692E70" w:rsidP="00C315D2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:lang w:eastAsia="zh-CN"/>
          <w14:ligatures w14:val="none"/>
        </w:rPr>
      </w:pPr>
    </w:p>
    <w:p w14:paraId="05741A33" w14:textId="118E22B5" w:rsidR="00BF7326" w:rsidRDefault="00B8473A" w:rsidP="00F41A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Colorectal cancer (CRC) ranks second in mortality worldwide and requires effective and affordable remedies.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Cyclovirobuxine</w:t>
      </w:r>
      <w:proofErr w:type="spellEnd"/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 (CVB-D) is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main effective component of </w:t>
      </w:r>
      <w:proofErr w:type="spellStart"/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Huangyangning</w:t>
      </w:r>
      <w:proofErr w:type="spellEnd"/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tablet, an approved traditional patent medicine, which is mainly used for cardiovascular treatment. As a </w:t>
      </w:r>
      <w:proofErr w:type="spellStart"/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multibioactive</w:t>
      </w:r>
      <w:proofErr w:type="spellEnd"/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BF7326" w:rsidRPr="00BF7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natural compound, CVB-D possesses underlying anticancer activities.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eastAsia="zh-CN"/>
          <w14:ligatures w14:val="none"/>
        </w:rPr>
      </w:pPr>
    </w:p>
    <w:p w14:paraId="3071877F" w14:textId="08A018BE" w:rsidR="00AC3464" w:rsidRDefault="00C315D2" w:rsidP="00AC34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Cell viability and clone-forming ability were determined in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human CRC lines. Western blot, immunofluorescence assay, transmission electron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microscopy and senescence-associated β-galactosidase (SA-β-Gal) staining were utilized to investigate cell autophagy and senescence. The molecular mechanisms were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explored by virtual prediction and experimental validation. Patient-derived xenograft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(PDX), dextran </w:t>
      </w:r>
      <w:proofErr w:type="spellStart"/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sulfate</w:t>
      </w:r>
      <w:proofErr w:type="spellEnd"/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sodium salt (DSS), and azomethane (AOM)/DSS mouse models</w:t>
      </w:r>
      <w:r w:rsidR="00AC3464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C3464" w:rsidRPr="00AC34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 employed for in vivo studies.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 w:eastAsia="zh-CN"/>
          <w14:ligatures w14:val="none"/>
        </w:rPr>
      </w:pPr>
    </w:p>
    <w:p w14:paraId="5D65706F" w14:textId="681E1840" w:rsidR="00C315D2" w:rsidRDefault="00795378" w:rsidP="002D1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AE3C7D" w:rsidRPr="00AE3C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CVB-D inhibited the growth and development of advanced CRC cells/mice by inducing autophagic and senescent activities through the chaperonin containing TCP1 subunit 3 (CCT3)/yes-associated protein (YAP) axis. CVB-D acted as a</w:t>
      </w:r>
      <w:r w:rsidR="00AE3C7D" w:rsidRPr="00AE3C7D">
        <w:rPr>
          <w:rFonts w:ascii="Arial" w:eastAsia="Calibri" w:hAnsi="Arial" w:cs="Calibri" w:hint="eastAsia"/>
          <w:bCs/>
          <w:kern w:val="0"/>
          <w:sz w:val="20"/>
          <w:szCs w:val="20"/>
          <w14:ligatures w14:val="none"/>
        </w:rPr>
        <w:t xml:space="preserve"> </w:t>
      </w:r>
      <w:r w:rsidR="00AE3C7D" w:rsidRPr="00AE3C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promising inhibitor of CCT3 by interacting with its ATP site. In PDX tumours, CVB-D</w:t>
      </w:r>
      <w:r w:rsidR="00AE3C7D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AE3C7D" w:rsidRPr="00AE3C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showed potential therapeutic effects by targeting CCT3. Treatment with CVB-D alleviated the mouse model of colitis induced by DSS and attenuated AOM/DSS</w:t>
      </w:r>
      <w:r w:rsidR="00AE3C7D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-</w:t>
      </w:r>
      <w:r w:rsidR="00AE3C7D" w:rsidRPr="00AE3C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induced formation of adenomatous polyps by its action on CCT3.</w:t>
      </w:r>
    </w:p>
    <w:p w14:paraId="71841F8E" w14:textId="77777777" w:rsidR="002D1A1B" w:rsidRPr="002D1A1B" w:rsidRDefault="002D1A1B" w:rsidP="002D1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</w:pPr>
    </w:p>
    <w:p w14:paraId="7D6384E4" w14:textId="6DEE081A" w:rsidR="002D1A1B" w:rsidRDefault="009B3011" w:rsidP="002D1A1B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Calibri" w:hAnsi="Arial" w:cs="Calibri"/>
          <w:b/>
          <w:noProof/>
          <w:kern w:val="0"/>
          <w:sz w:val="20"/>
          <w:szCs w:val="20"/>
        </w:rPr>
        <w:drawing>
          <wp:inline distT="0" distB="0" distL="0" distR="0" wp14:anchorId="3223816A" wp14:editId="3DF1FC0A">
            <wp:extent cx="4777200" cy="3218400"/>
            <wp:effectExtent l="0" t="0" r="0" b="0"/>
            <wp:docPr id="969312100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312100" name="图片 1" descr="图示&#10;&#10;AI 生成的内容可能不正确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2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3296" w14:textId="6EFD7F6A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2D1A1B" w:rsidRPr="002D1A1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CVB-D impedes CRC progress by regulation of autophagy and senescence machinery via targeting CCT3. In terms of preventive effect, CVB-D alleviates DSS-induced murine colitis and attenuates AOM/DSS-induced adenomatous </w:t>
      </w:r>
      <w:proofErr w:type="gramStart"/>
      <w:r w:rsidR="002D1A1B" w:rsidRPr="002D1A1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polyps</w:t>
      </w:r>
      <w:proofErr w:type="gramEnd"/>
      <w:r w:rsidR="002D1A1B" w:rsidRPr="002D1A1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formation.</w:t>
      </w:r>
    </w:p>
    <w:p w14:paraId="488B450F" w14:textId="77777777" w:rsidR="002D1A1B" w:rsidRPr="002D1A1B" w:rsidRDefault="002D1A1B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</w:p>
    <w:p w14:paraId="773AA27B" w14:textId="44ACE1CE" w:rsidR="00201D0D" w:rsidRPr="00201D0D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01D0D" w:rsidRPr="00201D0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Our study has provided a scientific basis for the suggestion that CVB-D may be recognized as a prospective drug candidate for the therapy of CRC in patients.</w:t>
      </w:r>
    </w:p>
    <w:p w14:paraId="62BC7337" w14:textId="77777777" w:rsidR="00201D0D" w:rsidRDefault="00201D0D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eastAsia="zh-CN"/>
          <w14:ligatures w14:val="none"/>
        </w:rPr>
      </w:pPr>
    </w:p>
    <w:p w14:paraId="7D56330A" w14:textId="6AB41FFF" w:rsidR="003F661A" w:rsidRPr="003F661A" w:rsidRDefault="003F661A" w:rsidP="003F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3F661A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</w:t>
      </w:r>
      <w:r>
        <w:rPr>
          <w:rFonts w:ascii="Arial" w:eastAsia="Calibri" w:hAnsi="Arial" w:cs="Calibri" w:hint="eastAsia"/>
          <w:b/>
          <w:kern w:val="0"/>
          <w:sz w:val="20"/>
          <w:szCs w:val="20"/>
          <w:lang w:eastAsia="zh-CN"/>
          <w14:ligatures w14:val="none"/>
        </w:rPr>
        <w:t xml:space="preserve">cknowledgements. </w:t>
      </w:r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work was supported by Natural Science Foundation of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Tianjin Municipality (No. 23JCJQJC00040), National Natural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Science Foundation of China (No. 82274154), Science and Technology Project of </w:t>
      </w:r>
      <w:proofErr w:type="spellStart"/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Haihe</w:t>
      </w:r>
      <w:proofErr w:type="spellEnd"/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Laboratory of Modern Chinese Medicine (No.</w:t>
      </w:r>
      <w:r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22HHZYSS00008), and </w:t>
      </w:r>
      <w:r w:rsidRPr="003F661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lastRenderedPageBreak/>
        <w:t>Natural Science Foundation of Tianjin Municipality (No. 23JCZXJC00150).</w:t>
      </w:r>
    </w:p>
    <w:p w14:paraId="5657E914" w14:textId="6EF0FB72" w:rsidR="003F661A" w:rsidRPr="003F661A" w:rsidRDefault="003F661A" w:rsidP="003F6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lang w:eastAsia="zh-CN"/>
          <w14:ligatures w14:val="none"/>
        </w:rPr>
      </w:pPr>
    </w:p>
    <w:p w14:paraId="2C801966" w14:textId="3FD76732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495B1BA5" w14:textId="7AD4B377" w:rsidR="00C315D2" w:rsidRPr="00C315D2" w:rsidRDefault="00C315D2" w:rsidP="006D4C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6D4C17" w:rsidRPr="006D4C1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Bray, F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BD0F14"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et al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(202</w:t>
      </w:r>
      <w:r w:rsidR="006D4C17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4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6D4C17" w:rsidRPr="006D4C1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Global cancer statistics 2022:</w:t>
      </w:r>
      <w:r w:rsidR="006D4C17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="006D4C17" w:rsidRPr="006D4C1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GLOBOCAN estimates of incidence and mortality worldwide for</w:t>
      </w:r>
      <w:r w:rsidR="006D4C17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="006D4C17" w:rsidRPr="006D4C1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36 cancers in 185 countries</w:t>
      </w:r>
      <w:r w:rsidR="00BD0F14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.</w:t>
      </w:r>
      <w:r w:rsidR="00BD0F14" w:rsidRPr="00BD0F1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CA: a Cancer Journal for Clinicians,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56:23-33</w:t>
      </w:r>
      <w:r w:rsidR="00BD0F14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.</w:t>
      </w:r>
    </w:p>
    <w:p w14:paraId="7D6E388F" w14:textId="26E21923" w:rsidR="00113BB7" w:rsidRPr="009B1CBB" w:rsidRDefault="00C315D2" w:rsidP="002D1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(2) Phan, T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 (202</w:t>
      </w:r>
      <w:r w:rsidR="00447BB3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5764AB" w:rsidRPr="005764A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Targeting CDK4 and CDK6 in</w:t>
      </w:r>
      <w:r w:rsidR="005764AB" w:rsidRPr="005764AB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5764AB" w:rsidRPr="005764A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cancer. Nature Reviews Cancer</w:t>
      </w:r>
      <w:r w:rsidR="005764AB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,</w:t>
      </w:r>
      <w:r w:rsidR="005764AB" w:rsidRPr="005764AB">
        <w:rPr>
          <w:rFonts w:ascii="Helvetica" w:hAnsi="Helvetica" w:cs="Helvetica"/>
          <w:kern w:val="0"/>
          <w:lang w:val="en-US"/>
        </w:rPr>
        <w:t xml:space="preserve"> </w:t>
      </w:r>
      <w:r w:rsidR="005764AB" w:rsidRPr="005764A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22</w:t>
      </w:r>
      <w:r w:rsidR="005764AB" w:rsidRPr="005764AB">
        <w:rPr>
          <w:rFonts w:ascii="Arial" w:eastAsia="Calibri" w:hAnsi="Arial" w:cs="Calibri" w:hint="eastAsia"/>
          <w:bCs/>
          <w:kern w:val="0"/>
          <w:sz w:val="20"/>
          <w:szCs w:val="20"/>
          <w:lang w:val="en-US"/>
          <w14:ligatures w14:val="none"/>
        </w:rPr>
        <w:t>:</w:t>
      </w:r>
      <w:r w:rsidR="005764AB" w:rsidRPr="005764A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356</w:t>
      </w:r>
      <w:r w:rsidR="005764AB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-</w:t>
      </w:r>
      <w:r w:rsidR="005764AB" w:rsidRPr="005764AB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372</w:t>
      </w:r>
      <w:r w:rsidR="005764AB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71972"/>
    <w:rsid w:val="00091526"/>
    <w:rsid w:val="00107368"/>
    <w:rsid w:val="00113BB7"/>
    <w:rsid w:val="002017E6"/>
    <w:rsid w:val="00201D0D"/>
    <w:rsid w:val="00294059"/>
    <w:rsid w:val="002D1A1B"/>
    <w:rsid w:val="003206E4"/>
    <w:rsid w:val="003349F8"/>
    <w:rsid w:val="00366EB1"/>
    <w:rsid w:val="003A6D5C"/>
    <w:rsid w:val="003C7021"/>
    <w:rsid w:val="003F661A"/>
    <w:rsid w:val="00447BB3"/>
    <w:rsid w:val="00470D96"/>
    <w:rsid w:val="004A51B6"/>
    <w:rsid w:val="00510CF8"/>
    <w:rsid w:val="00575A29"/>
    <w:rsid w:val="005764AB"/>
    <w:rsid w:val="005E502D"/>
    <w:rsid w:val="00601754"/>
    <w:rsid w:val="006139B6"/>
    <w:rsid w:val="0063679A"/>
    <w:rsid w:val="00692E70"/>
    <w:rsid w:val="006A34BE"/>
    <w:rsid w:val="006D4C17"/>
    <w:rsid w:val="006F3F1C"/>
    <w:rsid w:val="007141F2"/>
    <w:rsid w:val="007561D8"/>
    <w:rsid w:val="00795378"/>
    <w:rsid w:val="00796206"/>
    <w:rsid w:val="007A48C0"/>
    <w:rsid w:val="007C367E"/>
    <w:rsid w:val="008071C5"/>
    <w:rsid w:val="008C0F2F"/>
    <w:rsid w:val="00906D34"/>
    <w:rsid w:val="009125CA"/>
    <w:rsid w:val="00933DC9"/>
    <w:rsid w:val="00936D4C"/>
    <w:rsid w:val="009523F9"/>
    <w:rsid w:val="009650DF"/>
    <w:rsid w:val="009A55FD"/>
    <w:rsid w:val="009B0AFF"/>
    <w:rsid w:val="009B1CBB"/>
    <w:rsid w:val="009B3011"/>
    <w:rsid w:val="00A0516D"/>
    <w:rsid w:val="00A17E55"/>
    <w:rsid w:val="00AA4F01"/>
    <w:rsid w:val="00AC3464"/>
    <w:rsid w:val="00AE3C7D"/>
    <w:rsid w:val="00B16FEB"/>
    <w:rsid w:val="00B30B72"/>
    <w:rsid w:val="00B4721D"/>
    <w:rsid w:val="00B8473A"/>
    <w:rsid w:val="00BD0F14"/>
    <w:rsid w:val="00BF7326"/>
    <w:rsid w:val="00C21815"/>
    <w:rsid w:val="00C315D2"/>
    <w:rsid w:val="00C353D8"/>
    <w:rsid w:val="00C521F4"/>
    <w:rsid w:val="00C574A6"/>
    <w:rsid w:val="00C57C4E"/>
    <w:rsid w:val="00CF5A91"/>
    <w:rsid w:val="00D02BB1"/>
    <w:rsid w:val="00D45A74"/>
    <w:rsid w:val="00D7428F"/>
    <w:rsid w:val="00DA34FF"/>
    <w:rsid w:val="00EC3746"/>
    <w:rsid w:val="00F333A8"/>
    <w:rsid w:val="00F41ACA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1A"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c48534</cp:lastModifiedBy>
  <cp:revision>4</cp:revision>
  <dcterms:created xsi:type="dcterms:W3CDTF">2025-05-14T09:43:00Z</dcterms:created>
  <dcterms:modified xsi:type="dcterms:W3CDTF">2025-05-14T10:03:00Z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