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053C" w14:textId="20159C6E" w:rsidR="00440953" w:rsidRDefault="00440953" w:rsidP="005112EF">
      <w:pPr>
        <w:spacing w:after="0" w:line="240" w:lineRule="auto"/>
        <w:jc w:val="center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44095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Human-Relevant Placenta-on-a-Chip Models as Alternatives to Animal Studies </w:t>
      </w:r>
      <w:r w:rsidR="00EA463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o</w:t>
      </w:r>
      <w:r w:rsidRPr="0044095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n Placentation and Pregnancy Complications</w:t>
      </w:r>
    </w:p>
    <w:p w14:paraId="27C6D2D1" w14:textId="7E7234F5" w:rsidR="0098174A" w:rsidRDefault="0098174A" w:rsidP="00C315D2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</w:p>
    <w:p w14:paraId="614CDCE8" w14:textId="598D4574" w:rsidR="00765262" w:rsidRDefault="00765262" w:rsidP="00DA6D20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2"/>
          <w:szCs w:val="20"/>
          <w:vertAlign w:val="superscript"/>
          <w:lang w:val="en-US"/>
          <w14:ligatures w14:val="none"/>
        </w:rPr>
      </w:pPr>
      <w:r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>Iman Akbarzadeh</w:t>
      </w:r>
      <w:r w:rsidRPr="00445265">
        <w:rPr>
          <w:rFonts w:asciiTheme="minorBidi" w:eastAsia="Times New Roman" w:hAnsiTheme="minorBidi"/>
          <w:kern w:val="0"/>
          <w:sz w:val="20"/>
          <w:szCs w:val="18"/>
          <w:vertAlign w:val="superscript"/>
          <w:lang w:val="en-US"/>
          <w14:ligatures w14:val="none"/>
        </w:rPr>
        <w:t>1</w:t>
      </w:r>
      <w:r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>, Mehran Dabiri</w:t>
      </w:r>
      <w:r w:rsidRPr="00445265">
        <w:rPr>
          <w:rFonts w:asciiTheme="minorBidi" w:eastAsia="Times New Roman" w:hAnsiTheme="minorBidi"/>
          <w:kern w:val="0"/>
          <w:sz w:val="20"/>
          <w:szCs w:val="18"/>
          <w:vertAlign w:val="superscript"/>
          <w:lang w:val="en-US"/>
          <w14:ligatures w14:val="none"/>
        </w:rPr>
        <w:t>2</w:t>
      </w:r>
      <w:r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 xml:space="preserve">, </w:t>
      </w:r>
      <w:r w:rsidR="008C6D06"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>Fatemeh Heidari</w:t>
      </w:r>
      <w:r w:rsidR="008C6D06" w:rsidRPr="00445265">
        <w:rPr>
          <w:rFonts w:asciiTheme="minorBidi" w:eastAsia="Times New Roman" w:hAnsiTheme="minorBidi"/>
          <w:kern w:val="0"/>
          <w:sz w:val="20"/>
          <w:szCs w:val="18"/>
          <w:vertAlign w:val="superscript"/>
          <w:lang w:val="en-US"/>
          <w14:ligatures w14:val="none"/>
        </w:rPr>
        <w:t>1</w:t>
      </w:r>
      <w:r w:rsidR="008C6D06"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 xml:space="preserve">, </w:t>
      </w:r>
      <w:r w:rsidR="00917F6C"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>Claire Richards</w:t>
      </w:r>
      <w:r w:rsidR="006A4DFF" w:rsidRPr="00445265">
        <w:rPr>
          <w:rFonts w:asciiTheme="minorBidi" w:eastAsia="Times New Roman" w:hAnsiTheme="minorBidi"/>
          <w:kern w:val="0"/>
          <w:sz w:val="20"/>
          <w:szCs w:val="18"/>
          <w:vertAlign w:val="superscript"/>
          <w:lang w:val="en-US"/>
          <w14:ligatures w14:val="none"/>
        </w:rPr>
        <w:t>1</w:t>
      </w:r>
      <w:r w:rsidR="00917F6C"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 xml:space="preserve">, </w:t>
      </w:r>
      <w:r w:rsidRPr="00445265"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  <w:t>Lana McClements</w:t>
      </w:r>
      <w:r w:rsidRPr="00445265">
        <w:rPr>
          <w:rFonts w:asciiTheme="minorBidi" w:eastAsia="Times New Roman" w:hAnsiTheme="minorBidi"/>
          <w:kern w:val="0"/>
          <w:sz w:val="20"/>
          <w:szCs w:val="18"/>
          <w:vertAlign w:val="superscript"/>
          <w:lang w:val="en-US"/>
          <w14:ligatures w14:val="none"/>
        </w:rPr>
        <w:t>1</w:t>
      </w:r>
    </w:p>
    <w:p w14:paraId="0EF3E60B" w14:textId="77777777" w:rsidR="00445265" w:rsidRPr="00445265" w:rsidRDefault="00445265" w:rsidP="00DA6D20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</w:pPr>
    </w:p>
    <w:p w14:paraId="3137FE2F" w14:textId="52AA4875" w:rsidR="00DD4F09" w:rsidRPr="00445265" w:rsidRDefault="00765262" w:rsidP="00765262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18"/>
          <w:szCs w:val="16"/>
          <w:lang w:val="en-US"/>
          <w14:ligatures w14:val="none"/>
        </w:rPr>
      </w:pPr>
      <w:r w:rsidRPr="00445265">
        <w:rPr>
          <w:rFonts w:asciiTheme="minorBidi" w:eastAsia="Times New Roman" w:hAnsiTheme="minorBidi"/>
          <w:kern w:val="0"/>
          <w:sz w:val="18"/>
          <w:szCs w:val="16"/>
          <w:vertAlign w:val="superscript"/>
          <w:lang w:val="en-US"/>
          <w14:ligatures w14:val="none"/>
        </w:rPr>
        <w:t>1</w:t>
      </w:r>
      <w:r w:rsidRPr="00445265">
        <w:rPr>
          <w:rFonts w:asciiTheme="minorBidi" w:eastAsia="Times New Roman" w:hAnsiTheme="minorBidi"/>
          <w:kern w:val="0"/>
          <w:sz w:val="18"/>
          <w:szCs w:val="16"/>
          <w:lang w:val="en-US"/>
          <w14:ligatures w14:val="none"/>
        </w:rPr>
        <w:t>School of Life Sciences, Faculty of Science, University of Technology Sydney, Australia</w:t>
      </w:r>
    </w:p>
    <w:p w14:paraId="2DD37039" w14:textId="46F03A48" w:rsidR="00C315D2" w:rsidRPr="00445265" w:rsidRDefault="00765262" w:rsidP="00445265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18"/>
          <w:szCs w:val="16"/>
          <w:lang w:val="en-US"/>
          <w14:ligatures w14:val="none"/>
        </w:rPr>
      </w:pPr>
      <w:r w:rsidRPr="00445265">
        <w:rPr>
          <w:rFonts w:asciiTheme="minorBidi" w:eastAsia="Times New Roman" w:hAnsiTheme="minorBidi"/>
          <w:kern w:val="0"/>
          <w:sz w:val="18"/>
          <w:szCs w:val="16"/>
          <w:vertAlign w:val="superscript"/>
          <w:lang w:val="en-US"/>
          <w14:ligatures w14:val="none"/>
        </w:rPr>
        <w:t>2</w:t>
      </w:r>
      <w:r w:rsidRPr="00445265">
        <w:rPr>
          <w:rFonts w:asciiTheme="minorBidi" w:eastAsia="Times New Roman" w:hAnsiTheme="minorBidi"/>
          <w:kern w:val="0"/>
          <w:sz w:val="18"/>
          <w:szCs w:val="16"/>
          <w:lang w:val="en-US"/>
          <w14:ligatures w14:val="none"/>
        </w:rPr>
        <w:t xml:space="preserve"> School of Biomedical Engineering, Faculty of Engineering and Information Technology, University of Technology Sydney, Australia</w:t>
      </w:r>
    </w:p>
    <w:p w14:paraId="48AA0677" w14:textId="77777777" w:rsidR="00445265" w:rsidRPr="00445265" w:rsidRDefault="00445265" w:rsidP="00445265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0"/>
          <w:szCs w:val="18"/>
          <w:lang w:val="en-US"/>
          <w14:ligatures w14:val="none"/>
        </w:rPr>
      </w:pPr>
    </w:p>
    <w:p w14:paraId="15D93483" w14:textId="120ED3AF" w:rsidR="00C315D2" w:rsidRDefault="00B8473A" w:rsidP="0045091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F57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Despite their use in placental research, a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nimal models </w:t>
      </w:r>
      <w:r w:rsidR="005E3D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do not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C1C6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adequately recapitulate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71C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human 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placental development</w:t>
      </w:r>
      <w:r w:rsidR="005E3DF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due to differences in structure and </w:t>
      </w:r>
      <w:r w:rsidR="002850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function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 We previously developed a 3D placenta-on-a-chip model</w:t>
      </w:r>
      <w:r w:rsidR="00D60A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which </w:t>
      </w:r>
      <w:r w:rsidR="00633D7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deciphered a new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mechanism of maternal-fetal communication involving the immunophilin protein</w:t>
      </w:r>
      <w:r w:rsidR="00E43F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FKBPL</w:t>
      </w:r>
      <w:r w:rsidR="00AC569B" w:rsidRPr="0045091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  <w:r w:rsidR="00D60A3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aim</w:t>
      </w:r>
      <w:r w:rsidR="0009173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 </w:t>
      </w:r>
      <w:r w:rsidR="009B4F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further improve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</w:t>
      </w:r>
      <w:r w:rsidR="009B4F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 complexity of this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model system</w:t>
      </w:r>
      <w:r w:rsidR="009B4FB6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by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incorporating multiple human placental cell types, including trophoblasts, stromal, immune, and endothelial </w:t>
      </w:r>
      <w:r w:rsidR="00AC569B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cells</w:t>
      </w:r>
      <w:r w:rsidR="00AC569B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="0035619E" w:rsidRPr="003561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EE163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elucidate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2196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647B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intercellular </w:t>
      </w:r>
      <w:r w:rsidR="000F79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crosstalk</w:t>
      </w:r>
      <w:r w:rsidR="00647B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45091A" w:rsidRPr="004509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70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therefore</w:t>
      </w:r>
      <w:r w:rsidR="00647B5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contributing to</w:t>
      </w:r>
      <w:r w:rsidR="00170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F799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</w:t>
      </w:r>
      <w:r w:rsidR="00170BD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3Rs in animal research. </w:t>
      </w:r>
    </w:p>
    <w:p w14:paraId="27DCF74A" w14:textId="77777777" w:rsidR="0045091A" w:rsidRPr="00C315D2" w:rsidRDefault="0045091A" w:rsidP="0045091A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1413D24" w14:textId="0DD579E5" w:rsidR="00841335" w:rsidRDefault="00C315D2" w:rsidP="00581EE4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E049E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he first-generation placenta-on-a-chip model </w:t>
      </w:r>
      <w:r w:rsidR="002D72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co-cultured the </w:t>
      </w:r>
      <w:r w:rsidR="0003113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first-trimester</w:t>
      </w:r>
      <w:r w:rsidR="002D72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trophoblast cells, ACH-3Ps, with human umbilical vein endothelial cells (HUVEC) </w:t>
      </w:r>
      <w:r w:rsidR="009542C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</w:t>
      </w:r>
      <w:r w:rsidR="002D72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collagen </w:t>
      </w:r>
      <w:r w:rsidR="009542C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within</w:t>
      </w:r>
      <w:r w:rsidR="000F1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70B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0B51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commercially available </w:t>
      </w:r>
      <w:r w:rsidR="000F1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microfluidics chip</w:t>
      </w:r>
      <w:r w:rsidR="009542C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(AIM Biotech, Singapore)</w:t>
      </w:r>
      <w:r w:rsidR="000F16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investigated mechanisms of interaction under inflammatory conditions typical for preeclampsia </w:t>
      </w:r>
      <w:r w:rsidR="00D178DC" w:rsidRPr="0086395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D178D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2D727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Our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next-generation</w:t>
      </w:r>
      <w:r w:rsidR="000B51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in-house fabricated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placenta-on-a-chip </w:t>
      </w:r>
      <w:r w:rsidR="008B04C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has been designed with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single-, dual-, and triple-channel configurations that can be spatially organized </w:t>
      </w:r>
      <w:r w:rsidR="000B510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with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trophoblasts, endothelial cells, stromal cells, or immune cells. We designed the chip to include lateral treatment ports and </w:t>
      </w:r>
      <w:r w:rsidR="004864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rail-based central channel (1300 µm width with 500 µm side channels; 250 µm height) to aid in the containment of hydrogels. The device was </w:t>
      </w:r>
      <w:r w:rsidR="00C0760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designed</w:t>
      </w:r>
      <w:r w:rsidR="00C0760D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0B62F4" w:rsidRPr="000B62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 SolidWorks (2023), 3D-printed through MiiCraft, cast in PDMS, and bonded to glass using oxygen plasma.</w:t>
      </w:r>
    </w:p>
    <w:p w14:paraId="2CFC04E9" w14:textId="663296A5" w:rsidR="00581EE4" w:rsidRPr="00B01BB3" w:rsidRDefault="00581EE4" w:rsidP="00581EE4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540A40FD" w14:textId="28F6D2AD" w:rsidR="00C30A89" w:rsidRDefault="00795378" w:rsidP="00C30A8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We successfully fabricated a stable and reproducible placenta-on-a-chip platform that expands on the capabilities of previous models by allowing spatially controlled integration of up to </w:t>
      </w:r>
      <w:r w:rsidR="00C118DC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four</w:t>
      </w:r>
      <w:r w:rsidR="00C118DC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distinct cell populations</w:t>
      </w:r>
      <w:r w:rsidR="008330F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(first trimester trophoblast cell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</w:t>
      </w:r>
      <w:r w:rsidR="008330F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human uterine </w:t>
      </w:r>
      <w:r w:rsidR="00CD0A8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microvascular endothelial cells with human uterine smooth muscle cells and fibroblasts)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as well as directional delivery of soluble cues through dedicated treatment channels. The rail-based design offers structural support for continued 3D matrix confinement, </w:t>
      </w:r>
      <w:r w:rsidR="002C4F8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enabling 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real-time monitoring of cell migration, trophoblast-endothelial interaction</w:t>
      </w:r>
      <w:r w:rsidR="00E72DD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representative of maternal-fetal communication</w:t>
      </w:r>
      <w:r w:rsidR="0003113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,</w:t>
      </w:r>
      <w:r w:rsidR="00E72DD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stromal</w:t>
      </w:r>
      <w:r w:rsidR="00E72DD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/immune cell support of this process</w:t>
      </w:r>
      <w:r w:rsidR="00A1306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(Figure 1)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. </w:t>
      </w:r>
      <w:r w:rsidR="00350188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The individual cell function will be assessed </w:t>
      </w:r>
      <w:r w:rsidR="004E0C9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using immunofluorescence</w:t>
      </w:r>
      <w:r w:rsidR="00F90E7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terms of </w:t>
      </w:r>
      <w:r w:rsidR="000416E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cell </w:t>
      </w:r>
      <w:r w:rsidR="00F90E7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migration</w:t>
      </w:r>
      <w:r w:rsidR="004E0C9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and network formation </w:t>
      </w:r>
      <w:r w:rsidR="003D5BDE" w:rsidRP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under normal, hypoxic, or pro-inflammatory conditions.</w:t>
      </w:r>
      <w:r w:rsidR="003D5BDE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</w:p>
    <w:p w14:paraId="45179720" w14:textId="6942DB62" w:rsidR="002634C8" w:rsidRDefault="002634C8" w:rsidP="0045091A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2E7148F4" w14:textId="473A2E40" w:rsidR="00C51241" w:rsidRDefault="002634C8" w:rsidP="00C5124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7A5F5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Our advanced and multicellular</w:t>
      </w:r>
      <w:r w:rsidR="007C72AA" w:rsidRPr="007C72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placenta-on-a-chip system</w:t>
      </w:r>
      <w:r w:rsidR="00166E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93A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provides improved </w:t>
      </w:r>
      <w:r w:rsidR="00154E5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complexity,</w:t>
      </w:r>
      <w:r w:rsidR="00F93A9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it is </w:t>
      </w:r>
      <w:r w:rsidR="007C72AA" w:rsidRPr="007C72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scalable, animal-free platform for investigating cellular and molecular processes important for placental </w:t>
      </w:r>
      <w:r w:rsidR="00CD699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development and </w:t>
      </w:r>
      <w:r w:rsidR="00F679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function</w:t>
      </w:r>
      <w:r w:rsidR="005901F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towards healthy pregnancy</w:t>
      </w:r>
      <w:r w:rsidR="007C72AA" w:rsidRPr="007C72A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0C3E482B" w14:textId="1E0D2392" w:rsidR="00527813" w:rsidRPr="00C51241" w:rsidRDefault="00DA6D20" w:rsidP="00C5124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C0432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65408" behindDoc="1" locked="0" layoutInCell="1" allowOverlap="1" wp14:anchorId="2EF562A5" wp14:editId="5B37A07D">
            <wp:simplePos x="0" y="0"/>
            <wp:positionH relativeFrom="margin">
              <wp:posOffset>-82550</wp:posOffset>
            </wp:positionH>
            <wp:positionV relativeFrom="paragraph">
              <wp:posOffset>7620</wp:posOffset>
            </wp:positionV>
            <wp:extent cx="2425106" cy="2338054"/>
            <wp:effectExtent l="0" t="0" r="0" b="5715"/>
            <wp:wrapNone/>
            <wp:docPr id="1536388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06" cy="233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283A" w14:textId="4EA3FD5A" w:rsidR="004A74B9" w:rsidRDefault="00CC0432" w:rsidP="0045091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5D182" wp14:editId="1A90D643">
                <wp:simplePos x="0" y="0"/>
                <wp:positionH relativeFrom="column">
                  <wp:posOffset>2552700</wp:posOffset>
                </wp:positionH>
                <wp:positionV relativeFrom="paragraph">
                  <wp:posOffset>6350</wp:posOffset>
                </wp:positionV>
                <wp:extent cx="3613150" cy="1606550"/>
                <wp:effectExtent l="0" t="0" r="0" b="0"/>
                <wp:wrapSquare wrapText="bothSides"/>
                <wp:docPr id="84485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F0035" w14:textId="77777777" w:rsidR="00822749" w:rsidRPr="00970B07" w:rsidRDefault="00822749" w:rsidP="000F799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Calibri"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70B07">
                              <w:rPr>
                                <w:rFonts w:ascii="Arial" w:eastAsia="Calibri" w:hAnsi="Arial" w:cs="Calibri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References:</w:t>
                            </w:r>
                            <w:r w:rsidRPr="00970B07">
                              <w:rPr>
                                <w:rFonts w:ascii="Arial" w:eastAsia="Calibri" w:hAnsi="Arial" w:cs="Calibri"/>
                                <w:bCs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8E7CADF" w14:textId="77777777" w:rsidR="00822749" w:rsidRPr="00970B07" w:rsidRDefault="00822749" w:rsidP="00FE5405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Calibri"/>
                                <w:bCs/>
                                <w:kern w:val="0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970B07">
                              <w:rPr>
                                <w:rFonts w:ascii="Arial" w:eastAsia="Calibri" w:hAnsi="Arial" w:cs="Calibri"/>
                                <w:bCs/>
                                <w:kern w:val="0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(1) Ghorbanpour SM, et. al. A placenta-on-a-chip model to determine the regulation of FKBPL and galectin-3 in preeclampsia. Cell Mol Life Sci. 2023, 80(2), 44.</w:t>
                            </w:r>
                          </w:p>
                          <w:p w14:paraId="3F5E89C7" w14:textId="77777777" w:rsidR="00822749" w:rsidRPr="009A2F80" w:rsidRDefault="00822749" w:rsidP="009A2F80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970B07">
                              <w:rPr>
                                <w:rFonts w:ascii="Arial" w:eastAsia="Calibri" w:hAnsi="Arial" w:cs="Calibri"/>
                                <w:bCs/>
                                <w:kern w:val="0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 xml:space="preserve">(2) Elzinga FA, et. al. Placenta-on-a-Chip as an In Vitro Approach to Evaluate the Physiological and Structural Characteristics of the Human Placental Barrier upon Drug Exposure: A Systematic Review. J Clin Med. 2023, 12(13), 4315.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5D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pt;margin-top:.5pt;width:284.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" filled="f" stroked="f" strokeweight=".5pt">
                <v:textbox>
                  <w:txbxContent>
                    <w:p w14:paraId="41EF0035" w14:textId="77777777" w:rsidR="00822749" w:rsidRPr="00970B07" w:rsidRDefault="00822749" w:rsidP="000F799F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Calibri"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970B07">
                        <w:rPr>
                          <w:rFonts w:ascii="Arial" w:eastAsia="Calibri" w:hAnsi="Arial" w:cs="Calibri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>References:</w:t>
                      </w:r>
                      <w:r w:rsidRPr="00970B07">
                        <w:rPr>
                          <w:rFonts w:ascii="Arial" w:eastAsia="Calibri" w:hAnsi="Arial" w:cs="Calibri"/>
                          <w:bCs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08E7CADF" w14:textId="77777777" w:rsidR="00822749" w:rsidRPr="00970B07" w:rsidRDefault="00822749" w:rsidP="00FE5405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Calibri"/>
                          <w:bCs/>
                          <w:kern w:val="0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970B07">
                        <w:rPr>
                          <w:rFonts w:ascii="Arial" w:eastAsia="Calibri" w:hAnsi="Arial" w:cs="Calibri"/>
                          <w:bCs/>
                          <w:kern w:val="0"/>
                          <w:sz w:val="20"/>
                          <w:szCs w:val="20"/>
                          <w:lang w:val="en-US"/>
                          <w14:ligatures w14:val="none"/>
                        </w:rPr>
                        <w:t>(1) Ghorbanpour SM, et. al. A placenta-on-a-chip model to determine the regulation of FKBPL and galectin-3 in preeclampsia. Cell Mol Life Sci. 2023, 80(2), 44.</w:t>
                      </w:r>
                    </w:p>
                    <w:p w14:paraId="3F5E89C7" w14:textId="77777777" w:rsidR="00822749" w:rsidRPr="009A2F80" w:rsidRDefault="00822749" w:rsidP="009A2F80">
                      <w:pPr>
                        <w:spacing w:after="0" w:line="240" w:lineRule="auto"/>
                        <w:jc w:val="both"/>
                        <w:rPr>
                          <w:noProof/>
                          <w:sz w:val="20"/>
                          <w:szCs w:val="20"/>
                        </w:rPr>
                      </w:pPr>
                      <w:r w:rsidRPr="00970B07">
                        <w:rPr>
                          <w:rFonts w:ascii="Arial" w:eastAsia="Calibri" w:hAnsi="Arial" w:cs="Calibri"/>
                          <w:bCs/>
                          <w:kern w:val="0"/>
                          <w:sz w:val="20"/>
                          <w:szCs w:val="20"/>
                          <w:lang w:val="en-US"/>
                          <w14:ligatures w14:val="none"/>
                        </w:rPr>
                        <w:t xml:space="preserve">(2) Elzinga FA, et. al. Placenta-on-a-Chip as an In Vitro Approach to Evaluate the Physiological and Structural Characteristics of the Human Placental Barrier upon Drug Exposure: A Systematic Review. J Clin Med. 2023, 12(13), 4315.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436DB" w14:textId="0EDD8226" w:rsidR="004A74B9" w:rsidRDefault="004A74B9" w:rsidP="0045091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1630B77B" w14:textId="03F35223" w:rsidR="004A74B9" w:rsidRPr="004A74B9" w:rsidRDefault="004A74B9" w:rsidP="004A74B9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6D62E75" w14:textId="14B61734" w:rsidR="00CC0432" w:rsidRPr="00CC0432" w:rsidRDefault="00CC0432" w:rsidP="00CC043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63209C90" w14:textId="62D6B23C" w:rsidR="004A74B9" w:rsidRPr="009B1CBB" w:rsidRDefault="00993EE5" w:rsidP="0045091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97353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F71379C" wp14:editId="4E49E2B6">
                <wp:simplePos x="0" y="0"/>
                <wp:positionH relativeFrom="margin">
                  <wp:posOffset>-419100</wp:posOffset>
                </wp:positionH>
                <wp:positionV relativeFrom="paragraph">
                  <wp:posOffset>1595755</wp:posOffset>
                </wp:positionV>
                <wp:extent cx="3098800" cy="590550"/>
                <wp:effectExtent l="0" t="0" r="6350" b="0"/>
                <wp:wrapTight wrapText="bothSides">
                  <wp:wrapPolygon edited="0">
                    <wp:start x="0" y="0"/>
                    <wp:lineTo x="0" y="20903"/>
                    <wp:lineTo x="21511" y="20903"/>
                    <wp:lineTo x="21511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7D0C" w14:textId="77777777" w:rsidR="00822749" w:rsidRPr="00973534" w:rsidRDefault="00822749" w:rsidP="008309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53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Figure 1. Schematic of the next-generation placenta-on-a-chip models consisting of multiple different placental cell types and two treatment channels.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379C" id="Text Box 2" o:spid="_x0000_s1027" type="#_x0000_t202" style="position:absolute;left:0;text-align:left;margin-left:-33pt;margin-top:125.65pt;width:244pt;height:4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" stroked="f">
                <v:textbox>
                  <w:txbxContent>
                    <w:p w14:paraId="28D87D0C" w14:textId="77777777" w:rsidR="00822749" w:rsidRPr="00973534" w:rsidRDefault="00822749" w:rsidP="0083094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53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Figure 1. Schematic of the next-generation placenta-on-a-chip models consisting of multiple different placental cell types and two treatment channels.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A74B9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07F74"/>
    <w:rsid w:val="00022ACF"/>
    <w:rsid w:val="00030868"/>
    <w:rsid w:val="00031130"/>
    <w:rsid w:val="000350EE"/>
    <w:rsid w:val="000416E5"/>
    <w:rsid w:val="0007792A"/>
    <w:rsid w:val="00087D43"/>
    <w:rsid w:val="00091734"/>
    <w:rsid w:val="000A6E17"/>
    <w:rsid w:val="000B510B"/>
    <w:rsid w:val="000B62F4"/>
    <w:rsid w:val="000F1653"/>
    <w:rsid w:val="000F799F"/>
    <w:rsid w:val="00106DC7"/>
    <w:rsid w:val="00107368"/>
    <w:rsid w:val="00113BB7"/>
    <w:rsid w:val="00137DC6"/>
    <w:rsid w:val="00154E5D"/>
    <w:rsid w:val="00166E05"/>
    <w:rsid w:val="00170BD9"/>
    <w:rsid w:val="001B5233"/>
    <w:rsid w:val="001C1C63"/>
    <w:rsid w:val="001C467D"/>
    <w:rsid w:val="001E31E3"/>
    <w:rsid w:val="002017E6"/>
    <w:rsid w:val="002204D0"/>
    <w:rsid w:val="00230BC1"/>
    <w:rsid w:val="00247CF5"/>
    <w:rsid w:val="002511EA"/>
    <w:rsid w:val="0026241A"/>
    <w:rsid w:val="002634C8"/>
    <w:rsid w:val="002850C2"/>
    <w:rsid w:val="00294059"/>
    <w:rsid w:val="00297CEB"/>
    <w:rsid w:val="002B6C91"/>
    <w:rsid w:val="002C4F83"/>
    <w:rsid w:val="002D727D"/>
    <w:rsid w:val="002F0B44"/>
    <w:rsid w:val="003206E4"/>
    <w:rsid w:val="00334104"/>
    <w:rsid w:val="00343DEF"/>
    <w:rsid w:val="00350188"/>
    <w:rsid w:val="0035619E"/>
    <w:rsid w:val="003A0AA9"/>
    <w:rsid w:val="003A6D5C"/>
    <w:rsid w:val="003D5BDE"/>
    <w:rsid w:val="003F5729"/>
    <w:rsid w:val="00440953"/>
    <w:rsid w:val="00445265"/>
    <w:rsid w:val="0045091A"/>
    <w:rsid w:val="004864EE"/>
    <w:rsid w:val="004939F5"/>
    <w:rsid w:val="004A51B6"/>
    <w:rsid w:val="004A74B9"/>
    <w:rsid w:val="004D075F"/>
    <w:rsid w:val="004E05B4"/>
    <w:rsid w:val="004E0C90"/>
    <w:rsid w:val="00510CF8"/>
    <w:rsid w:val="005112EF"/>
    <w:rsid w:val="00527813"/>
    <w:rsid w:val="005461CB"/>
    <w:rsid w:val="00575A29"/>
    <w:rsid w:val="0058034A"/>
    <w:rsid w:val="00581EE4"/>
    <w:rsid w:val="005901F4"/>
    <w:rsid w:val="005927C6"/>
    <w:rsid w:val="00593E02"/>
    <w:rsid w:val="005A178A"/>
    <w:rsid w:val="005E3DF2"/>
    <w:rsid w:val="00601754"/>
    <w:rsid w:val="00633D70"/>
    <w:rsid w:val="00647B58"/>
    <w:rsid w:val="006A1187"/>
    <w:rsid w:val="006A2106"/>
    <w:rsid w:val="006A34BE"/>
    <w:rsid w:val="006A4DFF"/>
    <w:rsid w:val="006F3F1C"/>
    <w:rsid w:val="007141F2"/>
    <w:rsid w:val="0074640E"/>
    <w:rsid w:val="007561D8"/>
    <w:rsid w:val="00765262"/>
    <w:rsid w:val="00786F15"/>
    <w:rsid w:val="00795378"/>
    <w:rsid w:val="00796206"/>
    <w:rsid w:val="007A5F5F"/>
    <w:rsid w:val="007C367E"/>
    <w:rsid w:val="007C702E"/>
    <w:rsid w:val="007C72AA"/>
    <w:rsid w:val="007D0088"/>
    <w:rsid w:val="008071C5"/>
    <w:rsid w:val="00822749"/>
    <w:rsid w:val="00830941"/>
    <w:rsid w:val="008330FF"/>
    <w:rsid w:val="00841335"/>
    <w:rsid w:val="00842226"/>
    <w:rsid w:val="00846864"/>
    <w:rsid w:val="00857F24"/>
    <w:rsid w:val="00863959"/>
    <w:rsid w:val="00871C62"/>
    <w:rsid w:val="008B04C2"/>
    <w:rsid w:val="008C6D06"/>
    <w:rsid w:val="008D1074"/>
    <w:rsid w:val="008F3008"/>
    <w:rsid w:val="00906D34"/>
    <w:rsid w:val="00917F6C"/>
    <w:rsid w:val="009336BD"/>
    <w:rsid w:val="00933DC9"/>
    <w:rsid w:val="00936D4C"/>
    <w:rsid w:val="00945760"/>
    <w:rsid w:val="009523F9"/>
    <w:rsid w:val="009542CE"/>
    <w:rsid w:val="009650DF"/>
    <w:rsid w:val="00970B07"/>
    <w:rsid w:val="00973534"/>
    <w:rsid w:val="0098174A"/>
    <w:rsid w:val="00993EE5"/>
    <w:rsid w:val="009947F4"/>
    <w:rsid w:val="009A1451"/>
    <w:rsid w:val="009B1CBB"/>
    <w:rsid w:val="009B4FB6"/>
    <w:rsid w:val="009B7519"/>
    <w:rsid w:val="009F5408"/>
    <w:rsid w:val="009F6563"/>
    <w:rsid w:val="00A0516D"/>
    <w:rsid w:val="00A13062"/>
    <w:rsid w:val="00AC569B"/>
    <w:rsid w:val="00AE327E"/>
    <w:rsid w:val="00B01BB3"/>
    <w:rsid w:val="00B2300A"/>
    <w:rsid w:val="00B325E2"/>
    <w:rsid w:val="00B326E1"/>
    <w:rsid w:val="00B35A0D"/>
    <w:rsid w:val="00B412F0"/>
    <w:rsid w:val="00B4721D"/>
    <w:rsid w:val="00B8473A"/>
    <w:rsid w:val="00BF7A0F"/>
    <w:rsid w:val="00C0760D"/>
    <w:rsid w:val="00C118DC"/>
    <w:rsid w:val="00C21815"/>
    <w:rsid w:val="00C30A89"/>
    <w:rsid w:val="00C315D2"/>
    <w:rsid w:val="00C353D8"/>
    <w:rsid w:val="00C51241"/>
    <w:rsid w:val="00CA5FD4"/>
    <w:rsid w:val="00CC0432"/>
    <w:rsid w:val="00CD0A85"/>
    <w:rsid w:val="00CD6990"/>
    <w:rsid w:val="00CF2CD2"/>
    <w:rsid w:val="00CF5A91"/>
    <w:rsid w:val="00D02BB1"/>
    <w:rsid w:val="00D10A58"/>
    <w:rsid w:val="00D178DC"/>
    <w:rsid w:val="00D45A74"/>
    <w:rsid w:val="00D508E0"/>
    <w:rsid w:val="00D5705E"/>
    <w:rsid w:val="00D60A3D"/>
    <w:rsid w:val="00D62A27"/>
    <w:rsid w:val="00D7428F"/>
    <w:rsid w:val="00D745F7"/>
    <w:rsid w:val="00DA6D20"/>
    <w:rsid w:val="00DC78E2"/>
    <w:rsid w:val="00DD4F09"/>
    <w:rsid w:val="00DD7480"/>
    <w:rsid w:val="00DE08FD"/>
    <w:rsid w:val="00DE45FD"/>
    <w:rsid w:val="00E03804"/>
    <w:rsid w:val="00E049E7"/>
    <w:rsid w:val="00E074BB"/>
    <w:rsid w:val="00E31122"/>
    <w:rsid w:val="00E40620"/>
    <w:rsid w:val="00E43F9F"/>
    <w:rsid w:val="00E46E62"/>
    <w:rsid w:val="00E72265"/>
    <w:rsid w:val="00E72DD5"/>
    <w:rsid w:val="00E765E4"/>
    <w:rsid w:val="00EA4635"/>
    <w:rsid w:val="00EC3746"/>
    <w:rsid w:val="00EE163F"/>
    <w:rsid w:val="00F15455"/>
    <w:rsid w:val="00F21962"/>
    <w:rsid w:val="00F23EF6"/>
    <w:rsid w:val="00F539FB"/>
    <w:rsid w:val="00F64024"/>
    <w:rsid w:val="00F64F9D"/>
    <w:rsid w:val="00F67929"/>
    <w:rsid w:val="00F85528"/>
    <w:rsid w:val="00F90E73"/>
    <w:rsid w:val="00F93A9E"/>
    <w:rsid w:val="00FE5405"/>
    <w:rsid w:val="2021B9E9"/>
    <w:rsid w:val="35FB8C03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745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1DE1D-1603-4398-9D89-85C19D8DC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Iman Akbarzadeh</cp:lastModifiedBy>
  <cp:revision>28</cp:revision>
  <dcterms:created xsi:type="dcterms:W3CDTF">2025-06-25T03:10:00Z</dcterms:created>
  <dcterms:modified xsi:type="dcterms:W3CDTF">2025-06-26T21:31:00Z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f05c8bc7-23fb-4c55-906a-8f5053a44eef</vt:lpwstr>
  </property>
  <property fmtid="{D5CDD505-2E9C-101B-9397-08002B2CF9AE}" pid="5" name="MSIP_Label_51a6c3db-1667-4f49-995a-8b9973972958_Enabled">
    <vt:lpwstr>true</vt:lpwstr>
  </property>
  <property fmtid="{D5CDD505-2E9C-101B-9397-08002B2CF9AE}" pid="6" name="MSIP_Label_51a6c3db-1667-4f49-995a-8b9973972958_SetDate">
    <vt:lpwstr>2025-05-30T06:12:02Z</vt:lpwstr>
  </property>
  <property fmtid="{D5CDD505-2E9C-101B-9397-08002B2CF9AE}" pid="7" name="MSIP_Label_51a6c3db-1667-4f49-995a-8b9973972958_Method">
    <vt:lpwstr>Standard</vt:lpwstr>
  </property>
  <property fmtid="{D5CDD505-2E9C-101B-9397-08002B2CF9AE}" pid="8" name="MSIP_Label_51a6c3db-1667-4f49-995a-8b9973972958_Name">
    <vt:lpwstr>UTS-Internal</vt:lpwstr>
  </property>
  <property fmtid="{D5CDD505-2E9C-101B-9397-08002B2CF9AE}" pid="9" name="MSIP_Label_51a6c3db-1667-4f49-995a-8b9973972958_SiteId">
    <vt:lpwstr>e8911c26-cf9f-4a9c-878e-527807be8791</vt:lpwstr>
  </property>
  <property fmtid="{D5CDD505-2E9C-101B-9397-08002B2CF9AE}" pid="10" name="MSIP_Label_51a6c3db-1667-4f49-995a-8b9973972958_ActionId">
    <vt:lpwstr>ad2f7c55-5b79-497a-9f02-4612326dd894</vt:lpwstr>
  </property>
  <property fmtid="{D5CDD505-2E9C-101B-9397-08002B2CF9AE}" pid="11" name="MSIP_Label_51a6c3db-1667-4f49-995a-8b9973972958_ContentBits">
    <vt:lpwstr>0</vt:lpwstr>
  </property>
  <property fmtid="{D5CDD505-2E9C-101B-9397-08002B2CF9AE}" pid="12" name="MSIP_Label_51a6c3db-1667-4f49-995a-8b9973972958_Tag">
    <vt:lpwstr>10, 3, 0, 1</vt:lpwstr>
  </property>
</Properties>
</file>