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A971" w14:textId="77777777" w:rsidR="00AB38FF" w:rsidRPr="00CD73EC" w:rsidRDefault="00AB38FF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7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Contribution of INDEL polymorphism in </w:t>
      </w:r>
      <w:r w:rsidRPr="00CD73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FLOWERING LOCUS T </w:t>
      </w:r>
      <w:r w:rsidRPr="00CD7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genes </w:t>
      </w:r>
    </w:p>
    <w:p w14:paraId="2B3C819D" w14:textId="77777777" w:rsidR="00AB38FF" w:rsidRPr="00CD73EC" w:rsidRDefault="00AB38FF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7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vernalization and photoperiod responsiveness </w:t>
      </w:r>
    </w:p>
    <w:p w14:paraId="3A3C991D" w14:textId="4B45322F" w:rsidR="001956AD" w:rsidRPr="00CD73EC" w:rsidRDefault="00AB38FF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73EC">
        <w:rPr>
          <w:rFonts w:ascii="Times New Roman" w:hAnsi="Times New Roman" w:cs="Times New Roman"/>
          <w:b/>
          <w:sz w:val="28"/>
          <w:szCs w:val="28"/>
          <w:lang w:val="en-US"/>
        </w:rPr>
        <w:t>of yellow lupin (</w:t>
      </w:r>
      <w:r w:rsidRPr="00CD73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Lupinus </w:t>
      </w:r>
      <w:proofErr w:type="spellStart"/>
      <w:r w:rsidRPr="00CD73EC">
        <w:rPr>
          <w:rFonts w:ascii="Times New Roman" w:hAnsi="Times New Roman" w:cs="Times New Roman"/>
          <w:b/>
          <w:i/>
          <w:sz w:val="28"/>
          <w:szCs w:val="28"/>
          <w:lang w:val="en-US"/>
        </w:rPr>
        <w:t>luteus</w:t>
      </w:r>
      <w:proofErr w:type="spellEnd"/>
      <w:r w:rsidRPr="00CD7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L.)</w:t>
      </w:r>
    </w:p>
    <w:p w14:paraId="51C448CB" w14:textId="4944749E" w:rsidR="009126C6" w:rsidRPr="00CD73EC" w:rsidRDefault="009126C6" w:rsidP="009126C6">
      <w:pPr>
        <w:pStyle w:val="ICLGG201701Title"/>
        <w:rPr>
          <w:rFonts w:ascii="Times New Roman" w:hAnsi="Times New Roman" w:cs="Times New Roman"/>
          <w:lang w:val="en-US"/>
        </w:rPr>
      </w:pPr>
    </w:p>
    <w:p w14:paraId="1A1787E2" w14:textId="314CDD52" w:rsidR="00DE719C" w:rsidRPr="005538EE" w:rsidRDefault="00DC1F8F" w:rsidP="009126C6">
      <w:pPr>
        <w:pStyle w:val="ICLGG201702Authors"/>
        <w:rPr>
          <w:rFonts w:ascii="Times New Roman" w:hAnsi="Times New Roman" w:cs="Times New Roman"/>
          <w:sz w:val="24"/>
          <w:szCs w:val="24"/>
          <w:lang w:val="pl-PL"/>
        </w:rPr>
      </w:pPr>
      <w:r w:rsidRPr="005538EE">
        <w:rPr>
          <w:rFonts w:ascii="Times New Roman" w:hAnsi="Times New Roman" w:cs="Times New Roman"/>
          <w:sz w:val="24"/>
          <w:szCs w:val="24"/>
          <w:u w:val="single"/>
          <w:lang w:val="pl-PL"/>
        </w:rPr>
        <w:t>Surma A</w:t>
      </w:r>
      <w:r w:rsidRPr="005538EE">
        <w:rPr>
          <w:rFonts w:ascii="Times New Roman" w:hAnsi="Times New Roman" w:cs="Times New Roman"/>
          <w:sz w:val="24"/>
          <w:szCs w:val="24"/>
          <w:u w:val="single"/>
          <w:vertAlign w:val="superscript"/>
          <w:lang w:val="pl-PL"/>
        </w:rPr>
        <w:t>1</w:t>
      </w:r>
      <w:r w:rsidRPr="005538EE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, </w:t>
      </w:r>
      <w:r w:rsidRPr="005538EE">
        <w:rPr>
          <w:rFonts w:ascii="Times New Roman" w:hAnsi="Times New Roman" w:cs="Times New Roman"/>
          <w:sz w:val="24"/>
          <w:szCs w:val="24"/>
          <w:lang w:val="pl-PL"/>
        </w:rPr>
        <w:t>Dogra I</w:t>
      </w:r>
      <w:r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5538EE">
        <w:rPr>
          <w:rFonts w:ascii="Times New Roman" w:hAnsi="Times New Roman" w:cs="Times New Roman"/>
          <w:sz w:val="24"/>
          <w:szCs w:val="24"/>
          <w:lang w:val="pl-PL"/>
        </w:rPr>
        <w:t>, Paul A</w:t>
      </w:r>
      <w:r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538EE" w:rsidRPr="005538EE">
        <w:rPr>
          <w:rFonts w:ascii="Times New Roman" w:hAnsi="Times New Roman" w:cs="Times New Roman"/>
          <w:sz w:val="24"/>
          <w:szCs w:val="24"/>
          <w:lang w:val="pl-PL"/>
        </w:rPr>
        <w:t>Plewiński P</w:t>
      </w:r>
      <w:r w:rsidR="005538EE"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="005538EE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5538EE" w:rsidRPr="005538EE">
        <w:rPr>
          <w:rFonts w:ascii="Times New Roman" w:hAnsi="Times New Roman" w:cs="Times New Roman"/>
          <w:sz w:val="24"/>
          <w:szCs w:val="24"/>
          <w:lang w:val="pl-PL"/>
        </w:rPr>
        <w:t>Rychel</w:t>
      </w:r>
      <w:proofErr w:type="spellEnd"/>
      <w:r w:rsidR="005538EE" w:rsidRPr="005538EE">
        <w:rPr>
          <w:rFonts w:ascii="Times New Roman" w:hAnsi="Times New Roman" w:cs="Times New Roman"/>
          <w:sz w:val="24"/>
          <w:szCs w:val="24"/>
          <w:lang w:val="pl-PL"/>
        </w:rPr>
        <w:t>-Bielska S</w:t>
      </w:r>
      <w:r w:rsidR="005538EE"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5538EE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E719C" w:rsidRPr="005538EE">
        <w:rPr>
          <w:rFonts w:ascii="Times New Roman" w:hAnsi="Times New Roman" w:cs="Times New Roman"/>
          <w:sz w:val="24"/>
          <w:szCs w:val="24"/>
          <w:lang w:val="pl-PL"/>
        </w:rPr>
        <w:t>Bielski</w:t>
      </w:r>
      <w:r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3600B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1,3</w:t>
      </w:r>
      <w:r w:rsidR="00DE719C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E719C"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softHyphen/>
      </w:r>
      <w:r w:rsidR="00DE719C"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softHyphen/>
        <w:t xml:space="preserve"> </w:t>
      </w:r>
      <w:r w:rsidR="00DE719C" w:rsidRPr="005538EE">
        <w:rPr>
          <w:rFonts w:ascii="Times New Roman" w:hAnsi="Times New Roman" w:cs="Times New Roman"/>
          <w:sz w:val="24"/>
          <w:szCs w:val="24"/>
          <w:lang w:val="pl-PL"/>
        </w:rPr>
        <w:t>Belter</w:t>
      </w:r>
      <w:r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 J</w:t>
      </w:r>
      <w:r w:rsidR="00DE719C"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="00DE719C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5538EE">
        <w:rPr>
          <w:rFonts w:ascii="Times New Roman" w:hAnsi="Times New Roman" w:cs="Times New Roman"/>
          <w:sz w:val="24"/>
          <w:szCs w:val="24"/>
          <w:lang w:val="pl-PL"/>
        </w:rPr>
        <w:t>Nowak S</w:t>
      </w:r>
      <w:r w:rsidRPr="00893B6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E719C" w:rsidRPr="005538EE">
        <w:rPr>
          <w:rFonts w:ascii="Times New Roman" w:hAnsi="Times New Roman" w:cs="Times New Roman"/>
          <w:sz w:val="24"/>
          <w:szCs w:val="24"/>
          <w:lang w:val="pl-PL"/>
        </w:rPr>
        <w:t>Kozak</w:t>
      </w:r>
      <w:r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 B</w:t>
      </w:r>
      <w:r w:rsidR="00DE719C" w:rsidRPr="005538E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DE719C" w:rsidRPr="005538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FB28A5" w:rsidRPr="005538EE">
        <w:rPr>
          <w:rFonts w:ascii="Times New Roman" w:hAnsi="Times New Roman" w:cs="Times New Roman"/>
          <w:sz w:val="24"/>
          <w:szCs w:val="24"/>
          <w:u w:val="single"/>
          <w:lang w:val="pl-PL"/>
        </w:rPr>
        <w:t>Książkiewicz M</w:t>
      </w:r>
      <w:r w:rsidR="00FB28A5" w:rsidRPr="005538EE">
        <w:rPr>
          <w:rFonts w:ascii="Times New Roman" w:hAnsi="Times New Roman" w:cs="Times New Roman"/>
          <w:sz w:val="24"/>
          <w:szCs w:val="24"/>
          <w:u w:val="single"/>
          <w:vertAlign w:val="superscript"/>
          <w:lang w:val="pl-PL"/>
        </w:rPr>
        <w:t>1</w:t>
      </w:r>
    </w:p>
    <w:p w14:paraId="3E997D5E" w14:textId="77777777" w:rsidR="005C7608" w:rsidRPr="005538EE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pl-PL"/>
        </w:rPr>
      </w:pPr>
    </w:p>
    <w:p w14:paraId="3ED8D242" w14:textId="269BBCA7" w:rsidR="00C8261D" w:rsidRPr="00CD73EC" w:rsidRDefault="004027E0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27E0">
        <w:rPr>
          <w:rFonts w:ascii="Times New Roman" w:hAnsi="Times New Roman" w:cs="Times New Roman"/>
          <w:i/>
          <w:sz w:val="24"/>
          <w:szCs w:val="24"/>
          <w:lang w:val="en-US"/>
        </w:rPr>
        <w:t>mksi@igr.poz</w:t>
      </w:r>
      <w:bookmarkStart w:id="0" w:name="_GoBack"/>
      <w:bookmarkEnd w:id="0"/>
      <w:r w:rsidRPr="004027E0">
        <w:rPr>
          <w:rFonts w:ascii="Times New Roman" w:hAnsi="Times New Roman" w:cs="Times New Roman"/>
          <w:i/>
          <w:sz w:val="24"/>
          <w:szCs w:val="24"/>
          <w:lang w:val="en-US"/>
        </w:rPr>
        <w:t>nan.pl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C8261D" w:rsidRPr="00C8261D">
        <w:rPr>
          <w:rFonts w:ascii="Times New Roman" w:hAnsi="Times New Roman" w:cs="Times New Roman"/>
          <w:i/>
          <w:sz w:val="24"/>
          <w:szCs w:val="24"/>
          <w:lang w:val="en-US"/>
        </w:rPr>
        <w:t>asur@igr.poznan.pl</w:t>
      </w:r>
    </w:p>
    <w:p w14:paraId="52ECECED" w14:textId="77777777" w:rsidR="009126C6" w:rsidRPr="00CD73EC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US"/>
        </w:rPr>
      </w:pPr>
    </w:p>
    <w:p w14:paraId="664A2972" w14:textId="3D0F2185" w:rsidR="009126C6" w:rsidRPr="00CD73EC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CD7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CD7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38FF" w:rsidRPr="00CD73EC">
        <w:rPr>
          <w:rFonts w:ascii="Times New Roman" w:hAnsi="Times New Roman" w:cs="Times New Roman"/>
          <w:sz w:val="24"/>
          <w:szCs w:val="24"/>
          <w:lang w:val="en-US"/>
        </w:rPr>
        <w:t>Institute of Plant Genetics, Polish Academy of Sciences, Poznań, Poland</w:t>
      </w:r>
    </w:p>
    <w:p w14:paraId="4624E317" w14:textId="2878F21F" w:rsidR="009126C6" w:rsidRPr="00CD73EC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CD7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D7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38FF" w:rsidRPr="00CD73EC">
        <w:rPr>
          <w:rFonts w:ascii="Times New Roman" w:hAnsi="Times New Roman" w:cs="Times New Roman"/>
          <w:sz w:val="24"/>
          <w:szCs w:val="24"/>
          <w:lang w:val="en-US"/>
        </w:rPr>
        <w:t>Wroc</w:t>
      </w:r>
      <w:r w:rsidR="009B4399">
        <w:rPr>
          <w:rFonts w:ascii="Times New Roman" w:hAnsi="Times New Roman" w:cs="Times New Roman"/>
          <w:sz w:val="24"/>
          <w:szCs w:val="24"/>
          <w:lang w:val="en-US"/>
        </w:rPr>
        <w:t>ł</w:t>
      </w:r>
      <w:r w:rsidR="00AB38FF" w:rsidRPr="00CD73EC">
        <w:rPr>
          <w:rFonts w:ascii="Times New Roman" w:hAnsi="Times New Roman" w:cs="Times New Roman"/>
          <w:sz w:val="24"/>
          <w:szCs w:val="24"/>
          <w:lang w:val="en-US"/>
        </w:rPr>
        <w:t xml:space="preserve">aw University of Environmental and Life Sciences, </w:t>
      </w:r>
      <w:proofErr w:type="spellStart"/>
      <w:r w:rsidR="00AB38FF" w:rsidRPr="00CD73EC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="00AB38FF" w:rsidRPr="00CD73EC">
        <w:rPr>
          <w:rFonts w:ascii="Times New Roman" w:hAnsi="Times New Roman" w:cs="Times New Roman"/>
          <w:sz w:val="24"/>
          <w:szCs w:val="24"/>
          <w:lang w:val="en-US"/>
        </w:rPr>
        <w:t>, Poland</w:t>
      </w:r>
    </w:p>
    <w:p w14:paraId="4E657B96" w14:textId="56A98B1D" w:rsidR="00AB38FF" w:rsidRPr="00CD73EC" w:rsidRDefault="00AB38FF" w:rsidP="00AB38FF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CD7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D73EC">
        <w:rPr>
          <w:rFonts w:ascii="Times New Roman" w:hAnsi="Times New Roman" w:cs="Times New Roman"/>
          <w:sz w:val="24"/>
          <w:szCs w:val="24"/>
          <w:lang w:val="en-US"/>
        </w:rPr>
        <w:tab/>
        <w:t>Poznań University of Life Sciences, Poznań, Poland</w:t>
      </w:r>
    </w:p>
    <w:p w14:paraId="619CE889" w14:textId="52F9E4D8" w:rsidR="00AB38FF" w:rsidRPr="00CD73EC" w:rsidRDefault="00AB38FF" w:rsidP="00DE719C">
      <w:pPr>
        <w:pStyle w:val="Bezodstpw"/>
        <w:rPr>
          <w:rFonts w:ascii="Times New Roman" w:hAnsi="Times New Roman" w:cs="Times New Roman"/>
          <w:sz w:val="24"/>
          <w:szCs w:val="24"/>
          <w:lang w:val="en-US" w:eastAsia="en-AU"/>
        </w:rPr>
      </w:pPr>
    </w:p>
    <w:p w14:paraId="3CB06B8B" w14:textId="5DC2B978" w:rsidR="00B40AF3" w:rsidRPr="00BB7A21" w:rsidRDefault="00FC11BD" w:rsidP="00DE719C">
      <w:pPr>
        <w:pStyle w:val="Bezodstpw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>Plants have evolved a complex molecular signaling network that regulates flowering in response to environmental factors. Wild yellow lupin accessions require prolonged cold period during juvenile phase to fulfill vernalization requirements and induce flowering.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Moreover, they considerably delay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flowering 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under non-inductive, short-day photoperiod. The convergence point of vernalization and photoperiod pathways 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in plants 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is the transcriptomic regulation of the floral integratory gene, </w:t>
      </w:r>
      <w:r w:rsidR="00CD73EC" w:rsidRPr="002C1EC6">
        <w:rPr>
          <w:rFonts w:ascii="Times New Roman" w:hAnsi="Times New Roman" w:cs="Times New Roman"/>
          <w:i/>
          <w:sz w:val="24"/>
          <w:szCs w:val="24"/>
          <w:lang w:val="en-US" w:eastAsia="en-AU"/>
        </w:rPr>
        <w:t>FLOWERING LOCUS T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(</w:t>
      </w:r>
      <w:r w:rsidR="00CD73EC" w:rsidRPr="002C1EC6">
        <w:rPr>
          <w:rFonts w:ascii="Times New Roman" w:hAnsi="Times New Roman" w:cs="Times New Roman"/>
          <w:i/>
          <w:sz w:val="24"/>
          <w:szCs w:val="24"/>
          <w:lang w:val="en-US" w:eastAsia="en-AU"/>
        </w:rPr>
        <w:t>FT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). While </w:t>
      </w:r>
      <w:r w:rsidR="00CD73EC" w:rsidRPr="002C1EC6">
        <w:rPr>
          <w:rFonts w:ascii="Times New Roman" w:hAnsi="Times New Roman" w:cs="Times New Roman"/>
          <w:i/>
          <w:sz w:val="24"/>
          <w:szCs w:val="24"/>
          <w:lang w:val="en-US" w:eastAsia="en-AU"/>
        </w:rPr>
        <w:t>Arabidopsis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has only two </w:t>
      </w:r>
      <w:r w:rsidR="00CD73EC" w:rsidRPr="002C1EC6">
        <w:rPr>
          <w:rFonts w:ascii="Times New Roman" w:hAnsi="Times New Roman" w:cs="Times New Roman"/>
          <w:i/>
          <w:sz w:val="24"/>
          <w:szCs w:val="24"/>
          <w:lang w:val="en-US" w:eastAsia="en-AU"/>
        </w:rPr>
        <w:t>FT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-like genes, partially sub-functionalized into </w:t>
      </w:r>
      <w:r w:rsidR="002C1EC6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temperature 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and 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photoperiod responsiveness, legume genomes encode a higher number of FT-like genes, 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>divided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into three subclades: </w:t>
      </w:r>
      <w:proofErr w:type="spellStart"/>
      <w:r w:rsidR="00CD73EC" w:rsidRPr="002C1EC6">
        <w:rPr>
          <w:rFonts w:ascii="Times New Roman" w:hAnsi="Times New Roman" w:cs="Times New Roman"/>
          <w:i/>
          <w:sz w:val="24"/>
          <w:szCs w:val="24"/>
          <w:lang w:val="en-US" w:eastAsia="en-AU"/>
        </w:rPr>
        <w:t>FTa</w:t>
      </w:r>
      <w:proofErr w:type="spellEnd"/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proofErr w:type="spellStart"/>
      <w:r w:rsidR="00CD73EC" w:rsidRPr="002C1EC6">
        <w:rPr>
          <w:rFonts w:ascii="Times New Roman" w:hAnsi="Times New Roman" w:cs="Times New Roman"/>
          <w:i/>
          <w:sz w:val="24"/>
          <w:szCs w:val="24"/>
          <w:lang w:val="en-US" w:eastAsia="en-AU"/>
        </w:rPr>
        <w:t>FTb</w:t>
      </w:r>
      <w:proofErr w:type="spellEnd"/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</w:t>
      </w:r>
      <w:proofErr w:type="spellStart"/>
      <w:r w:rsidR="00CD73EC" w:rsidRPr="002C1EC6">
        <w:rPr>
          <w:rFonts w:ascii="Times New Roman" w:hAnsi="Times New Roman" w:cs="Times New Roman"/>
          <w:i/>
          <w:sz w:val="24"/>
          <w:szCs w:val="24"/>
          <w:lang w:val="en-US" w:eastAsia="en-AU"/>
        </w:rPr>
        <w:t>FTc</w:t>
      </w:r>
      <w:proofErr w:type="spellEnd"/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proofErr w:type="spellStart"/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>Lupins</w:t>
      </w:r>
      <w:proofErr w:type="spellEnd"/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during evolution </w:t>
      </w:r>
      <w:r w:rsidR="00B40AF3" w:rsidRPr="00BB7A21">
        <w:rPr>
          <w:rFonts w:ascii="Times New Roman" w:hAnsi="Times New Roman" w:cs="Times New Roman"/>
          <w:sz w:val="24"/>
          <w:szCs w:val="24"/>
          <w:lang w:val="en-US" w:eastAsia="en-AU"/>
        </w:rPr>
        <w:t>lost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the </w:t>
      </w:r>
      <w:r w:rsidR="00A575E1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whole </w:t>
      </w:r>
      <w:proofErr w:type="spellStart"/>
      <w:r w:rsidR="00CD73EC" w:rsidRPr="00BB7A21">
        <w:rPr>
          <w:rFonts w:ascii="Times New Roman" w:hAnsi="Times New Roman" w:cs="Times New Roman"/>
          <w:i/>
          <w:sz w:val="24"/>
          <w:szCs w:val="24"/>
          <w:lang w:val="en-US" w:eastAsia="en-AU"/>
        </w:rPr>
        <w:t>FTb</w:t>
      </w:r>
      <w:proofErr w:type="spellEnd"/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clade, but </w:t>
      </w:r>
      <w:r w:rsidR="00B40AF3" w:rsidRPr="00BB7A21">
        <w:rPr>
          <w:rFonts w:ascii="Times New Roman" w:hAnsi="Times New Roman" w:cs="Times New Roman"/>
          <w:sz w:val="24"/>
          <w:szCs w:val="24"/>
          <w:lang w:val="en-US" w:eastAsia="en-AU"/>
        </w:rPr>
        <w:t>accumulated dupli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>cate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>d</w:t>
      </w:r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proofErr w:type="spellStart"/>
      <w:r w:rsidR="00CD73EC" w:rsidRPr="002C1EC6">
        <w:rPr>
          <w:rFonts w:ascii="Times New Roman" w:hAnsi="Times New Roman" w:cs="Times New Roman"/>
          <w:i/>
          <w:sz w:val="24"/>
          <w:szCs w:val="24"/>
          <w:lang w:val="en-US" w:eastAsia="en-AU"/>
        </w:rPr>
        <w:t>FTa</w:t>
      </w:r>
      <w:proofErr w:type="spellEnd"/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</w:t>
      </w:r>
      <w:proofErr w:type="spellStart"/>
      <w:r w:rsidR="00CD73EC" w:rsidRPr="002C1EC6">
        <w:rPr>
          <w:rFonts w:ascii="Times New Roman" w:hAnsi="Times New Roman" w:cs="Times New Roman"/>
          <w:i/>
          <w:sz w:val="24"/>
          <w:szCs w:val="24"/>
          <w:lang w:val="en-US" w:eastAsia="en-AU"/>
        </w:rPr>
        <w:t>FTc</w:t>
      </w:r>
      <w:proofErr w:type="spellEnd"/>
      <w:r w:rsidR="00CD73EC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genes</w:t>
      </w:r>
      <w:r w:rsidR="00B40AF3" w:rsidRPr="00BB7A21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</w:p>
    <w:p w14:paraId="176E0388" w14:textId="77777777" w:rsidR="005B3CCC" w:rsidRDefault="00B40AF3" w:rsidP="00B40AF3">
      <w:pPr>
        <w:pStyle w:val="Bezodstpw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presence of multiple </w:t>
      </w:r>
      <w:r w:rsidRPr="00BB7A21">
        <w:rPr>
          <w:rFonts w:ascii="Times New Roman" w:hAnsi="Times New Roman" w:cs="Times New Roman"/>
          <w:i/>
          <w:sz w:val="24"/>
          <w:szCs w:val="24"/>
          <w:lang w:val="en-US" w:eastAsia="en-AU"/>
        </w:rPr>
        <w:t>FT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copies in the genome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reduced 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>selection pres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sure,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>facilitat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>ing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environmental adaptation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>It resulted in the loss of vernalization and/or photoperiod re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quirements, naturally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as a drought escape strategy </w:t>
      </w:r>
      <w:r w:rsidR="002C1EC6">
        <w:rPr>
          <w:rFonts w:ascii="Times New Roman" w:hAnsi="Times New Roman" w:cs="Times New Roman"/>
          <w:sz w:val="24"/>
          <w:szCs w:val="24"/>
          <w:lang w:val="en-US" w:eastAsia="en-AU"/>
        </w:rPr>
        <w:t>or artificially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CD3545" w:rsidRPr="00BB7A21">
        <w:rPr>
          <w:rFonts w:ascii="Times New Roman" w:hAnsi="Times New Roman" w:cs="Times New Roman"/>
          <w:sz w:val="24"/>
          <w:szCs w:val="24"/>
          <w:lang w:val="en-US" w:eastAsia="en-AU"/>
        </w:rPr>
        <w:t>during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domestication process. The causal mutations underlying 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>day-neutral and thermoneutral</w:t>
      </w:r>
      <w:r w:rsidR="00CD3545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phenotypes were identi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fied </w:t>
      </w:r>
      <w:r w:rsidR="00CD3545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in our study </w:t>
      </w:r>
      <w:r w:rsidR="00A575E1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[1]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as </w:t>
      </w:r>
      <w:r w:rsidR="00CD3545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INDEL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polymorphisms in the promoter regions </w:t>
      </w:r>
      <w:r w:rsidR="00CD3545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of </w:t>
      </w:r>
      <w:r w:rsidR="00CD3545" w:rsidRPr="00BB7A21">
        <w:rPr>
          <w:rFonts w:ascii="Times New Roman" w:hAnsi="Times New Roman" w:cs="Times New Roman"/>
          <w:i/>
          <w:sz w:val="24"/>
          <w:szCs w:val="24"/>
          <w:lang w:val="en-US" w:eastAsia="en-AU"/>
        </w:rPr>
        <w:t>FTa1</w:t>
      </w:r>
      <w:r w:rsidR="00CD3545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</w:t>
      </w:r>
      <w:r w:rsidR="00CD3545" w:rsidRPr="00BB7A21">
        <w:rPr>
          <w:rFonts w:ascii="Times New Roman" w:hAnsi="Times New Roman" w:cs="Times New Roman"/>
          <w:i/>
          <w:sz w:val="24"/>
          <w:szCs w:val="24"/>
          <w:lang w:val="en-US" w:eastAsia="en-AU"/>
        </w:rPr>
        <w:t>FTc1</w:t>
      </w:r>
      <w:r w:rsidR="00CD3545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genes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carrying the sole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candidate binding sites 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in the </w:t>
      </w:r>
      <w:r w:rsidR="00F86BC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whole 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>promoter</w:t>
      </w:r>
      <w:r w:rsidR="00F86BC7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for 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>major repressive transcription factors</w:t>
      </w:r>
      <w:r w:rsidR="00CD3545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TARGET OF EAT 2 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(TOE2) </w:t>
      </w:r>
      <w:r w:rsidR="00CD3545" w:rsidRPr="00BB7A21">
        <w:rPr>
          <w:rFonts w:ascii="Times New Roman" w:hAnsi="Times New Roman" w:cs="Times New Roman"/>
          <w:sz w:val="24"/>
          <w:szCs w:val="24"/>
          <w:lang w:val="en-US" w:eastAsia="en-AU"/>
        </w:rPr>
        <w:t>and AGAMOUS-like 15 (AGL15), respectively.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>Moreover,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 very late flowering phenotype was associated with a </w:t>
      </w:r>
      <w:proofErr w:type="spellStart"/>
      <w:r w:rsidR="009A1D48" w:rsidRPr="00F86BC7">
        <w:rPr>
          <w:rFonts w:ascii="Times New Roman" w:hAnsi="Times New Roman" w:cs="Times New Roman"/>
          <w:i/>
          <w:sz w:val="24"/>
          <w:szCs w:val="24"/>
          <w:lang w:val="en-US" w:eastAsia="en-AU"/>
        </w:rPr>
        <w:t>Copia</w:t>
      </w:r>
      <w:proofErr w:type="spellEnd"/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-like retrotransposon insertion in the third intron of the </w:t>
      </w:r>
      <w:r w:rsidR="009A1D48" w:rsidRPr="00BB7A21">
        <w:rPr>
          <w:rFonts w:ascii="Times New Roman" w:hAnsi="Times New Roman" w:cs="Times New Roman"/>
          <w:i/>
          <w:sz w:val="24"/>
          <w:szCs w:val="24"/>
          <w:lang w:val="en-US" w:eastAsia="en-AU"/>
        </w:rPr>
        <w:t>FTc2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gene. PCR markers designed for these loci and positively validated in the yellow lupin </w:t>
      </w:r>
      <w:r w:rsidR="00F86BC7">
        <w:rPr>
          <w:rFonts w:ascii="Times New Roman" w:hAnsi="Times New Roman" w:cs="Times New Roman"/>
          <w:sz w:val="24"/>
          <w:szCs w:val="24"/>
          <w:lang w:val="en-US" w:eastAsia="en-AU"/>
        </w:rPr>
        <w:t>diversity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panel </w:t>
      </w:r>
      <w:r w:rsidR="00F86BC7">
        <w:rPr>
          <w:rFonts w:ascii="Times New Roman" w:hAnsi="Times New Roman" w:cs="Times New Roman"/>
          <w:sz w:val="24"/>
          <w:szCs w:val="24"/>
          <w:lang w:val="en-US" w:eastAsia="en-AU"/>
        </w:rPr>
        <w:t>await implementation in</w:t>
      </w:r>
      <w:r w:rsidR="009A1D48" w:rsidRPr="00BB7A2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marker-assisted selection.</w:t>
      </w:r>
      <w:r w:rsidR="009408B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6409E78C" w14:textId="728A3A0A" w:rsidR="00B40AF3" w:rsidRPr="00BB7A21" w:rsidRDefault="00B40AF3" w:rsidP="00B40AF3">
      <w:pPr>
        <w:pStyle w:val="Bezodstpw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BB7A21">
        <w:rPr>
          <w:rFonts w:ascii="Times New Roman" w:hAnsi="Times New Roman" w:cs="Times New Roman"/>
          <w:sz w:val="24"/>
          <w:szCs w:val="24"/>
          <w:lang w:val="en-US" w:eastAsia="en-AU"/>
        </w:rPr>
        <w:t>Funding: National Science Centre, Poland, project OPUS21 2021/41/B/NZ9/02226.</w:t>
      </w:r>
    </w:p>
    <w:p w14:paraId="6686E3B6" w14:textId="77777777" w:rsidR="009126C6" w:rsidRPr="00CD73EC" w:rsidRDefault="009126C6" w:rsidP="00A575E1">
      <w:pPr>
        <w:pStyle w:val="ICLGG201799Emptyrow"/>
        <w:ind w:firstLine="0"/>
        <w:rPr>
          <w:rFonts w:ascii="Times New Roman" w:hAnsi="Times New Roman" w:cs="Times New Roman"/>
          <w:lang w:val="en-US"/>
        </w:rPr>
      </w:pPr>
    </w:p>
    <w:p w14:paraId="5FDAA890" w14:textId="77777777" w:rsidR="009126C6" w:rsidRPr="00CD73EC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CD73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References:</w:t>
      </w:r>
    </w:p>
    <w:p w14:paraId="66FB0CD5" w14:textId="66A2D51F" w:rsidR="00EF022F" w:rsidRPr="00A575E1" w:rsidRDefault="009126C6" w:rsidP="00A575E1">
      <w:pPr>
        <w:pStyle w:val="ICLGG201703Institutions"/>
        <w:rPr>
          <w:lang w:val="en-US"/>
        </w:rPr>
      </w:pPr>
      <w:r w:rsidRPr="00CD73EC">
        <w:rPr>
          <w:lang w:val="en-US"/>
        </w:rPr>
        <w:t>[</w:t>
      </w:r>
      <w:r w:rsidR="00A575E1">
        <w:rPr>
          <w:lang w:val="en-US"/>
        </w:rPr>
        <w:t>1</w:t>
      </w:r>
      <w:r w:rsidRPr="00CD73EC">
        <w:rPr>
          <w:lang w:val="en-US"/>
        </w:rPr>
        <w:t>]</w:t>
      </w:r>
      <w:r w:rsidRPr="00CD73EC">
        <w:rPr>
          <w:lang w:val="en-US"/>
        </w:rPr>
        <w:tab/>
      </w:r>
      <w:proofErr w:type="spellStart"/>
      <w:r w:rsidR="00A575E1">
        <w:rPr>
          <w:lang w:val="en-US"/>
        </w:rPr>
        <w:t>Plewiński</w:t>
      </w:r>
      <w:proofErr w:type="spellEnd"/>
      <w:r w:rsidRPr="00CD73EC">
        <w:rPr>
          <w:lang w:val="en-US"/>
        </w:rPr>
        <w:t xml:space="preserve"> </w:t>
      </w:r>
      <w:r w:rsidR="00A575E1">
        <w:rPr>
          <w:lang w:val="en-US"/>
        </w:rPr>
        <w:t>P</w:t>
      </w:r>
      <w:r w:rsidRPr="00CD73EC">
        <w:rPr>
          <w:lang w:val="en-US"/>
        </w:rPr>
        <w:t>.</w:t>
      </w:r>
      <w:r w:rsidR="00A575E1">
        <w:rPr>
          <w:lang w:val="en-US"/>
        </w:rPr>
        <w:t xml:space="preserve"> et al</w:t>
      </w:r>
      <w:r w:rsidRPr="00CD73EC">
        <w:rPr>
          <w:lang w:val="en-US"/>
        </w:rPr>
        <w:t>, '</w:t>
      </w:r>
      <w:r w:rsidR="00A575E1" w:rsidRPr="00A575E1">
        <w:rPr>
          <w:lang w:val="en-US"/>
        </w:rPr>
        <w:t xml:space="preserve">FLOWERING LOCUS T indel variants confer vernalization-independent and photoperiod-insensitive flowering of yellow lupin (Lupinus </w:t>
      </w:r>
      <w:proofErr w:type="spellStart"/>
      <w:r w:rsidR="00A575E1" w:rsidRPr="00A575E1">
        <w:rPr>
          <w:lang w:val="en-US"/>
        </w:rPr>
        <w:t>luteus</w:t>
      </w:r>
      <w:proofErr w:type="spellEnd"/>
      <w:r w:rsidR="00A575E1" w:rsidRPr="00A575E1">
        <w:rPr>
          <w:lang w:val="en-US"/>
        </w:rPr>
        <w:t xml:space="preserve"> L.)</w:t>
      </w:r>
      <w:r w:rsidRPr="00CD73EC">
        <w:rPr>
          <w:lang w:val="en-US"/>
        </w:rPr>
        <w:t xml:space="preserve">’ </w:t>
      </w:r>
      <w:r w:rsidR="00A575E1" w:rsidRPr="00A575E1">
        <w:rPr>
          <w:lang w:val="en-US"/>
        </w:rPr>
        <w:t>Horticulture Research</w:t>
      </w:r>
      <w:r w:rsidRPr="00CD73EC">
        <w:rPr>
          <w:lang w:val="en-US"/>
        </w:rPr>
        <w:t xml:space="preserve">, vol. </w:t>
      </w:r>
      <w:r w:rsidR="00A575E1">
        <w:rPr>
          <w:lang w:val="en-US"/>
        </w:rPr>
        <w:t>9</w:t>
      </w:r>
      <w:r w:rsidRPr="00CD73EC">
        <w:rPr>
          <w:lang w:val="en-US"/>
        </w:rPr>
        <w:t>, 20</w:t>
      </w:r>
      <w:r w:rsidR="00A575E1">
        <w:rPr>
          <w:lang w:val="en-US"/>
        </w:rPr>
        <w:t>22</w:t>
      </w:r>
      <w:r w:rsidRPr="00CD73EC">
        <w:rPr>
          <w:lang w:val="en-US"/>
        </w:rPr>
        <w:t xml:space="preserve">, </w:t>
      </w:r>
      <w:r w:rsidR="00A575E1">
        <w:t>uhac180</w:t>
      </w:r>
      <w:r w:rsidRPr="00CD73EC">
        <w:rPr>
          <w:lang w:val="en-US"/>
        </w:rPr>
        <w:t>.</w:t>
      </w:r>
    </w:p>
    <w:p w14:paraId="48283A78" w14:textId="77777777" w:rsidR="009126C6" w:rsidRPr="00CD73EC" w:rsidRDefault="009126C6">
      <w:pPr>
        <w:rPr>
          <w:rFonts w:ascii="Times New Roman" w:hAnsi="Times New Roman" w:cs="Times New Roman"/>
          <w:lang w:val="en-US"/>
        </w:rPr>
      </w:pPr>
    </w:p>
    <w:p w14:paraId="4A57E76F" w14:textId="77777777" w:rsidR="009126C6" w:rsidRPr="00CD73EC" w:rsidRDefault="009126C6">
      <w:pPr>
        <w:rPr>
          <w:rFonts w:ascii="Times New Roman" w:hAnsi="Times New Roman" w:cs="Times New Roman"/>
          <w:lang w:val="en-US"/>
        </w:rPr>
      </w:pPr>
    </w:p>
    <w:sectPr w:rsidR="009126C6" w:rsidRPr="00CD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C6"/>
    <w:rsid w:val="00086C6E"/>
    <w:rsid w:val="000A708A"/>
    <w:rsid w:val="000B21D5"/>
    <w:rsid w:val="0011541E"/>
    <w:rsid w:val="00154C17"/>
    <w:rsid w:val="001956AD"/>
    <w:rsid w:val="001D72AC"/>
    <w:rsid w:val="00234A08"/>
    <w:rsid w:val="002B7ABD"/>
    <w:rsid w:val="002C1EC6"/>
    <w:rsid w:val="002C63F8"/>
    <w:rsid w:val="003600BA"/>
    <w:rsid w:val="00373E5A"/>
    <w:rsid w:val="003E7225"/>
    <w:rsid w:val="004027E0"/>
    <w:rsid w:val="004428E8"/>
    <w:rsid w:val="00477E9B"/>
    <w:rsid w:val="005538EE"/>
    <w:rsid w:val="005B3CCC"/>
    <w:rsid w:val="005C2ABC"/>
    <w:rsid w:val="005C7608"/>
    <w:rsid w:val="00621661"/>
    <w:rsid w:val="0069354D"/>
    <w:rsid w:val="006C1D10"/>
    <w:rsid w:val="00731AF8"/>
    <w:rsid w:val="007465CD"/>
    <w:rsid w:val="00752D23"/>
    <w:rsid w:val="00760EC5"/>
    <w:rsid w:val="00771CA6"/>
    <w:rsid w:val="007C1B7A"/>
    <w:rsid w:val="00811000"/>
    <w:rsid w:val="00893B61"/>
    <w:rsid w:val="008E0EA1"/>
    <w:rsid w:val="009126C6"/>
    <w:rsid w:val="009408B9"/>
    <w:rsid w:val="00954065"/>
    <w:rsid w:val="00957A4B"/>
    <w:rsid w:val="009A1D48"/>
    <w:rsid w:val="009B4399"/>
    <w:rsid w:val="009C49E6"/>
    <w:rsid w:val="00A575E1"/>
    <w:rsid w:val="00A72105"/>
    <w:rsid w:val="00AB38FF"/>
    <w:rsid w:val="00B40AF3"/>
    <w:rsid w:val="00BB7A21"/>
    <w:rsid w:val="00BE0837"/>
    <w:rsid w:val="00BE396B"/>
    <w:rsid w:val="00C8261D"/>
    <w:rsid w:val="00CD3545"/>
    <w:rsid w:val="00CD73EC"/>
    <w:rsid w:val="00D85B1B"/>
    <w:rsid w:val="00DC1F8F"/>
    <w:rsid w:val="00DE719C"/>
    <w:rsid w:val="00E14484"/>
    <w:rsid w:val="00E80A77"/>
    <w:rsid w:val="00EA7F59"/>
    <w:rsid w:val="00EF022F"/>
    <w:rsid w:val="00F86BC7"/>
    <w:rsid w:val="00FB28A5"/>
    <w:rsid w:val="00FC11BD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CLGG201701Title">
    <w:name w:val="ICLGG 2017 01 Title"/>
    <w:basedOn w:val="Normalny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ny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ny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omylnaczcionkaakapitu"/>
    <w:rsid w:val="0069354D"/>
  </w:style>
  <w:style w:type="paragraph" w:styleId="Bezodstpw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ipercze">
    <w:name w:val="Hyperlink"/>
    <w:basedOn w:val="Domylnaczcionkaakapitu"/>
    <w:uiPriority w:val="99"/>
    <w:unhideWhenUsed/>
    <w:rsid w:val="00C82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349</Words>
  <Characters>2220</Characters>
  <Application>Microsoft Office Word</Application>
  <DocSecurity>0</DocSecurity>
  <Lines>41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s104</cp:lastModifiedBy>
  <cp:revision>42</cp:revision>
  <dcterms:created xsi:type="dcterms:W3CDTF">2024-02-09T03:15:00Z</dcterms:created>
  <dcterms:modified xsi:type="dcterms:W3CDTF">2024-04-26T12:37:00Z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5350b6be1b2b8bad94be975dbf606c4fc007d4b3cdd1d729b46e6fe59d4532f9</vt:lpwstr>
  </property>
</Properties>
</file>