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20D8D" w:rsidRDefault="00000000">
      <w:pPr>
        <w:jc w:val="both"/>
        <w:rPr>
          <w:rFonts w:ascii="Calibri" w:eastAsia="Calibri" w:hAnsi="Calibri" w:cs="Calibri"/>
          <w:sz w:val="20"/>
          <w:szCs w:val="20"/>
        </w:rPr>
      </w:pPr>
      <w:r>
        <w:rPr>
          <w:rFonts w:ascii="Calibri" w:eastAsia="Calibri" w:hAnsi="Calibri" w:cs="Calibri"/>
          <w:b/>
          <w:sz w:val="20"/>
          <w:szCs w:val="20"/>
        </w:rPr>
        <w:t xml:space="preserve">Characteristics of adverse drug withdrawal reactions following </w:t>
      </w:r>
      <w:proofErr w:type="spellStart"/>
      <w:r>
        <w:rPr>
          <w:rFonts w:ascii="Calibri" w:eastAsia="Calibri" w:hAnsi="Calibri" w:cs="Calibri"/>
          <w:b/>
          <w:sz w:val="20"/>
          <w:szCs w:val="20"/>
        </w:rPr>
        <w:t>gabapentinoid</w:t>
      </w:r>
      <w:proofErr w:type="spellEnd"/>
      <w:r>
        <w:rPr>
          <w:rFonts w:ascii="Calibri" w:eastAsia="Calibri" w:hAnsi="Calibri" w:cs="Calibri"/>
          <w:b/>
          <w:sz w:val="20"/>
          <w:szCs w:val="20"/>
        </w:rPr>
        <w:t xml:space="preserve"> deprescribing: A systematic review</w:t>
      </w:r>
    </w:p>
    <w:p w14:paraId="00000002" w14:textId="77777777" w:rsidR="00B20D8D" w:rsidRDefault="00000000">
      <w:pPr>
        <w:jc w:val="both"/>
        <w:rPr>
          <w:rFonts w:ascii="Calibri" w:eastAsia="Calibri" w:hAnsi="Calibri" w:cs="Calibri"/>
          <w:sz w:val="20"/>
          <w:szCs w:val="20"/>
        </w:rPr>
      </w:pPr>
      <w:r>
        <w:rPr>
          <w:rFonts w:ascii="Calibri" w:eastAsia="Calibri" w:hAnsi="Calibri" w:cs="Calibri"/>
          <w:sz w:val="20"/>
          <w:szCs w:val="20"/>
        </w:rPr>
        <w:t>Yujoung Joung</w:t>
      </w:r>
      <w:r>
        <w:rPr>
          <w:rFonts w:ascii="Calibri" w:eastAsia="Calibri" w:hAnsi="Calibri" w:cs="Calibri"/>
          <w:sz w:val="20"/>
          <w:szCs w:val="20"/>
          <w:vertAlign w:val="superscript"/>
        </w:rPr>
        <w:t>1</w:t>
      </w:r>
      <w:r>
        <w:rPr>
          <w:rFonts w:ascii="Calibri" w:eastAsia="Calibri" w:hAnsi="Calibri" w:cs="Calibri"/>
          <w:sz w:val="20"/>
          <w:szCs w:val="20"/>
        </w:rPr>
        <w:t>, Shin J Liau</w:t>
      </w:r>
      <w:r>
        <w:rPr>
          <w:rFonts w:ascii="Calibri" w:eastAsia="Calibri" w:hAnsi="Calibri" w:cs="Calibri"/>
          <w:sz w:val="20"/>
          <w:szCs w:val="20"/>
          <w:vertAlign w:val="superscript"/>
        </w:rPr>
        <w:t>1</w:t>
      </w:r>
      <w:r>
        <w:rPr>
          <w:rFonts w:ascii="Calibri" w:eastAsia="Calibri" w:hAnsi="Calibri" w:cs="Calibri"/>
          <w:sz w:val="20"/>
          <w:szCs w:val="20"/>
        </w:rPr>
        <w:t>, Elizabeth Gong</w:t>
      </w:r>
      <w:r>
        <w:rPr>
          <w:rFonts w:ascii="Calibri" w:eastAsia="Calibri" w:hAnsi="Calibri" w:cs="Calibri"/>
          <w:sz w:val="20"/>
          <w:szCs w:val="20"/>
          <w:vertAlign w:val="superscript"/>
        </w:rPr>
        <w:t>1</w:t>
      </w:r>
      <w:r>
        <w:rPr>
          <w:rFonts w:ascii="Calibri" w:eastAsia="Calibri" w:hAnsi="Calibri" w:cs="Calibri"/>
          <w:sz w:val="20"/>
          <w:szCs w:val="20"/>
        </w:rPr>
        <w:t>,</w:t>
      </w:r>
      <w:r>
        <w:rPr>
          <w:rFonts w:ascii="Calibri" w:eastAsia="Calibri" w:hAnsi="Calibri" w:cs="Calibri"/>
          <w:sz w:val="20"/>
          <w:szCs w:val="20"/>
          <w:vertAlign w:val="superscript"/>
        </w:rPr>
        <w:t xml:space="preserve"> </w:t>
      </w:r>
      <w:r>
        <w:rPr>
          <w:rFonts w:ascii="Calibri" w:eastAsia="Calibri" w:hAnsi="Calibri" w:cs="Calibri"/>
          <w:sz w:val="20"/>
          <w:szCs w:val="20"/>
        </w:rPr>
        <w:t>Meher Mangat</w:t>
      </w:r>
      <w:r>
        <w:rPr>
          <w:rFonts w:ascii="Calibri" w:eastAsia="Calibri" w:hAnsi="Calibri" w:cs="Calibri"/>
          <w:sz w:val="20"/>
          <w:szCs w:val="20"/>
          <w:vertAlign w:val="superscript"/>
        </w:rPr>
        <w:t>1</w:t>
      </w:r>
      <w:r>
        <w:rPr>
          <w:rFonts w:ascii="Calibri" w:eastAsia="Calibri" w:hAnsi="Calibri" w:cs="Calibri"/>
          <w:sz w:val="20"/>
          <w:szCs w:val="20"/>
        </w:rPr>
        <w:t>, Jenny Oh</w:t>
      </w:r>
      <w:r>
        <w:rPr>
          <w:rFonts w:ascii="Calibri" w:eastAsia="Calibri" w:hAnsi="Calibri" w:cs="Calibri"/>
          <w:sz w:val="20"/>
          <w:szCs w:val="20"/>
          <w:vertAlign w:val="superscript"/>
        </w:rPr>
        <w:t>1</w:t>
      </w:r>
      <w:r>
        <w:rPr>
          <w:rFonts w:ascii="Calibri" w:eastAsia="Calibri" w:hAnsi="Calibri" w:cs="Calibri"/>
          <w:sz w:val="20"/>
          <w:szCs w:val="20"/>
        </w:rPr>
        <w:t>,</w:t>
      </w:r>
      <w:r>
        <w:rPr>
          <w:rFonts w:ascii="Calibri" w:eastAsia="Calibri" w:hAnsi="Calibri" w:cs="Calibri"/>
          <w:sz w:val="20"/>
          <w:szCs w:val="20"/>
          <w:vertAlign w:val="superscript"/>
        </w:rPr>
        <w:t xml:space="preserve"> </w:t>
      </w:r>
      <w:r>
        <w:rPr>
          <w:rFonts w:ascii="Calibri" w:eastAsia="Calibri" w:hAnsi="Calibri" w:cs="Calibri"/>
          <w:sz w:val="20"/>
          <w:szCs w:val="20"/>
        </w:rPr>
        <w:t>Suzanne Nielsen</w:t>
      </w:r>
      <w:r>
        <w:rPr>
          <w:rFonts w:ascii="Calibri" w:eastAsia="Calibri" w:hAnsi="Calibri" w:cs="Calibri"/>
          <w:sz w:val="20"/>
          <w:szCs w:val="20"/>
          <w:vertAlign w:val="superscript"/>
        </w:rPr>
        <w:t>2</w:t>
      </w:r>
      <w:r>
        <w:rPr>
          <w:rFonts w:ascii="Calibri" w:eastAsia="Calibri" w:hAnsi="Calibri" w:cs="Calibri"/>
          <w:sz w:val="20"/>
          <w:szCs w:val="20"/>
        </w:rPr>
        <w:t>,</w:t>
      </w:r>
      <w:r>
        <w:rPr>
          <w:rFonts w:ascii="Calibri" w:eastAsia="Calibri" w:hAnsi="Calibri" w:cs="Calibri"/>
          <w:sz w:val="20"/>
          <w:szCs w:val="20"/>
          <w:vertAlign w:val="superscript"/>
        </w:rPr>
        <w:t xml:space="preserve"> </w:t>
      </w:r>
      <w:r>
        <w:rPr>
          <w:rFonts w:ascii="Calibri" w:eastAsia="Calibri" w:hAnsi="Calibri" w:cs="Calibri"/>
          <w:sz w:val="20"/>
          <w:szCs w:val="20"/>
        </w:rPr>
        <w:t>Amy G McNeilage</w:t>
      </w:r>
      <w:r>
        <w:rPr>
          <w:rFonts w:ascii="Calibri" w:eastAsia="Calibri" w:hAnsi="Calibri" w:cs="Calibri"/>
          <w:sz w:val="20"/>
          <w:szCs w:val="20"/>
          <w:vertAlign w:val="superscript"/>
        </w:rPr>
        <w:t>2,3</w:t>
      </w:r>
      <w:r>
        <w:rPr>
          <w:rFonts w:ascii="Calibri" w:eastAsia="Calibri" w:hAnsi="Calibri" w:cs="Calibri"/>
          <w:sz w:val="20"/>
          <w:szCs w:val="20"/>
        </w:rPr>
        <w:t>, Emily Reeve</w:t>
      </w:r>
      <w:r>
        <w:rPr>
          <w:rFonts w:ascii="Calibri" w:eastAsia="Calibri" w:hAnsi="Calibri" w:cs="Calibri"/>
          <w:sz w:val="20"/>
          <w:szCs w:val="20"/>
          <w:vertAlign w:val="superscript"/>
        </w:rPr>
        <w:t>1</w:t>
      </w:r>
      <w:r>
        <w:rPr>
          <w:rFonts w:ascii="Calibri" w:eastAsia="Calibri" w:hAnsi="Calibri" w:cs="Calibri"/>
          <w:sz w:val="20"/>
          <w:szCs w:val="20"/>
        </w:rPr>
        <w:t>. Centre for Medicine Use and Safety, Faculty of Pharmacy and Pharmaceutical Sciences, Monash University</w:t>
      </w:r>
      <w:r>
        <w:rPr>
          <w:rFonts w:ascii="Calibri" w:eastAsia="Calibri" w:hAnsi="Calibri" w:cs="Calibri"/>
          <w:sz w:val="20"/>
          <w:szCs w:val="20"/>
          <w:vertAlign w:val="superscript"/>
        </w:rPr>
        <w:t>1</w:t>
      </w:r>
      <w:r>
        <w:rPr>
          <w:rFonts w:ascii="Calibri" w:eastAsia="Calibri" w:hAnsi="Calibri" w:cs="Calibri"/>
          <w:sz w:val="20"/>
          <w:szCs w:val="20"/>
        </w:rPr>
        <w:t>, Parkville, VIC, Aus; Monash Addiction Research Centre, Eastern Health Clinical School, Monash University</w:t>
      </w:r>
      <w:r>
        <w:rPr>
          <w:rFonts w:ascii="Calibri" w:eastAsia="Calibri" w:hAnsi="Calibri" w:cs="Calibri"/>
          <w:sz w:val="20"/>
          <w:szCs w:val="20"/>
          <w:vertAlign w:val="superscript"/>
        </w:rPr>
        <w:t>2</w:t>
      </w:r>
      <w:r>
        <w:rPr>
          <w:rFonts w:ascii="Calibri" w:eastAsia="Calibri" w:hAnsi="Calibri" w:cs="Calibri"/>
          <w:sz w:val="20"/>
          <w:szCs w:val="20"/>
        </w:rPr>
        <w:t>, Frankston, VIC, Aus; Sydney Medical School, Faculty of Medicine and Health, The University of Sydney</w:t>
      </w:r>
      <w:r>
        <w:rPr>
          <w:rFonts w:ascii="Calibri" w:eastAsia="Calibri" w:hAnsi="Calibri" w:cs="Calibri"/>
          <w:sz w:val="20"/>
          <w:szCs w:val="20"/>
          <w:vertAlign w:val="superscript"/>
        </w:rPr>
        <w:t>3</w:t>
      </w:r>
      <w:r>
        <w:rPr>
          <w:rFonts w:ascii="Calibri" w:eastAsia="Calibri" w:hAnsi="Calibri" w:cs="Calibri"/>
          <w:sz w:val="20"/>
          <w:szCs w:val="20"/>
        </w:rPr>
        <w:t>, Sydney, NSW, Aus.</w:t>
      </w:r>
    </w:p>
    <w:p w14:paraId="00000003" w14:textId="77777777" w:rsidR="00B20D8D" w:rsidRDefault="00B20D8D">
      <w:pPr>
        <w:jc w:val="both"/>
        <w:rPr>
          <w:rFonts w:ascii="Calibri" w:eastAsia="Calibri" w:hAnsi="Calibri" w:cs="Calibri"/>
          <w:sz w:val="20"/>
          <w:szCs w:val="20"/>
        </w:rPr>
      </w:pPr>
    </w:p>
    <w:p w14:paraId="00000004" w14:textId="04254DD5" w:rsidR="00B20D8D" w:rsidRDefault="00000000">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Introduction.</w:t>
      </w:r>
      <w:r>
        <w:rPr>
          <w:rFonts w:ascii="Calibri" w:eastAsia="Calibri" w:hAnsi="Calibri" w:cs="Calibri"/>
          <w:b/>
          <w:color w:val="FF0000"/>
          <w:sz w:val="20"/>
          <w:szCs w:val="20"/>
        </w:rPr>
        <w:t xml:space="preserve"> </w:t>
      </w:r>
      <w:r>
        <w:rPr>
          <w:rFonts w:ascii="Calibri" w:eastAsia="Calibri" w:hAnsi="Calibri" w:cs="Calibri"/>
          <w:sz w:val="20"/>
          <w:szCs w:val="20"/>
          <w:shd w:val="clear" w:color="auto" w:fill="FAFDFD"/>
        </w:rPr>
        <w:t xml:space="preserve">Barriers to </w:t>
      </w:r>
      <w:proofErr w:type="spellStart"/>
      <w:r>
        <w:rPr>
          <w:rFonts w:ascii="Calibri" w:eastAsia="Calibri" w:hAnsi="Calibri" w:cs="Calibri"/>
          <w:sz w:val="20"/>
          <w:szCs w:val="20"/>
          <w:shd w:val="clear" w:color="auto" w:fill="FAFDFD"/>
        </w:rPr>
        <w:t>gabapentinoid</w:t>
      </w:r>
      <w:proofErr w:type="spellEnd"/>
      <w:r>
        <w:rPr>
          <w:rFonts w:ascii="Calibri" w:eastAsia="Calibri" w:hAnsi="Calibri" w:cs="Calibri"/>
          <w:sz w:val="20"/>
          <w:szCs w:val="20"/>
          <w:shd w:val="clear" w:color="auto" w:fill="FAFDFD"/>
        </w:rPr>
        <w:t xml:space="preserve"> deprescribing include clinician and consumer concerns about adverse drug withdrawal reactions (ADWRs). Better understanding of these reactions is needed to guide safe deprescribing.</w:t>
      </w:r>
    </w:p>
    <w:p w14:paraId="00000005" w14:textId="77777777" w:rsidR="00B20D8D" w:rsidRDefault="00000000">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Aims</w:t>
      </w:r>
      <w:r>
        <w:rPr>
          <w:rFonts w:ascii="Calibri" w:eastAsia="Calibri" w:hAnsi="Calibri" w:cs="Calibri"/>
          <w:color w:val="000000"/>
          <w:sz w:val="20"/>
          <w:szCs w:val="20"/>
        </w:rPr>
        <w:t xml:space="preserve">. </w:t>
      </w:r>
      <w:r>
        <w:rPr>
          <w:rFonts w:ascii="Calibri" w:eastAsia="Calibri" w:hAnsi="Calibri" w:cs="Calibri"/>
          <w:color w:val="202021"/>
          <w:sz w:val="20"/>
          <w:szCs w:val="20"/>
          <w:shd w:val="clear" w:color="auto" w:fill="FAFDFD"/>
        </w:rPr>
        <w:t xml:space="preserve">To synthesise evidence on the characteristics of ADWRs associated with </w:t>
      </w:r>
      <w:proofErr w:type="spellStart"/>
      <w:r>
        <w:rPr>
          <w:rFonts w:ascii="Calibri" w:eastAsia="Calibri" w:hAnsi="Calibri" w:cs="Calibri"/>
          <w:color w:val="202021"/>
          <w:sz w:val="20"/>
          <w:szCs w:val="20"/>
          <w:shd w:val="clear" w:color="auto" w:fill="FAFDFD"/>
        </w:rPr>
        <w:t>gabapentinoids</w:t>
      </w:r>
      <w:proofErr w:type="spellEnd"/>
      <w:r>
        <w:rPr>
          <w:rFonts w:ascii="Calibri" w:eastAsia="Calibri" w:hAnsi="Calibri" w:cs="Calibri"/>
          <w:color w:val="202021"/>
          <w:sz w:val="20"/>
          <w:szCs w:val="20"/>
          <w:shd w:val="clear" w:color="auto" w:fill="FAFDFD"/>
        </w:rPr>
        <w:t xml:space="preserve"> including signs/symptoms, severity, onset, and duration.</w:t>
      </w:r>
    </w:p>
    <w:p w14:paraId="00000006" w14:textId="77777777" w:rsidR="00B20D8D" w:rsidRDefault="00000000">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Methods</w:t>
      </w:r>
      <w:r>
        <w:rPr>
          <w:rFonts w:ascii="Calibri" w:eastAsia="Calibri" w:hAnsi="Calibri" w:cs="Calibri"/>
          <w:color w:val="000000"/>
          <w:sz w:val="20"/>
          <w:szCs w:val="20"/>
        </w:rPr>
        <w:t xml:space="preserve">. </w:t>
      </w:r>
      <w:r>
        <w:rPr>
          <w:rFonts w:ascii="Calibri" w:eastAsia="Calibri" w:hAnsi="Calibri" w:cs="Calibri"/>
          <w:color w:val="202021"/>
          <w:sz w:val="20"/>
          <w:szCs w:val="20"/>
          <w:shd w:val="clear" w:color="auto" w:fill="FAFDFD"/>
        </w:rPr>
        <w:t xml:space="preserve">Five databases including MEDLINE, Embase, </w:t>
      </w:r>
      <w:proofErr w:type="spellStart"/>
      <w:r>
        <w:rPr>
          <w:rFonts w:ascii="Calibri" w:eastAsia="Calibri" w:hAnsi="Calibri" w:cs="Calibri"/>
          <w:color w:val="202021"/>
          <w:sz w:val="20"/>
          <w:szCs w:val="20"/>
          <w:shd w:val="clear" w:color="auto" w:fill="FAFDFD"/>
        </w:rPr>
        <w:t>PsycInfo</w:t>
      </w:r>
      <w:proofErr w:type="spellEnd"/>
      <w:r>
        <w:rPr>
          <w:rFonts w:ascii="Calibri" w:eastAsia="Calibri" w:hAnsi="Calibri" w:cs="Calibri"/>
          <w:color w:val="202021"/>
          <w:sz w:val="20"/>
          <w:szCs w:val="20"/>
          <w:shd w:val="clear" w:color="auto" w:fill="FAFDFD"/>
        </w:rPr>
        <w:t>, Cochrane Library, and Scopus were searched up to 24 February 2025. The review was conducted in accordance with PRISMA guidelines. Two reviewers independently performed screening, data extraction, and quality assessment. A narrative synthesis was conducted.</w:t>
      </w:r>
    </w:p>
    <w:p w14:paraId="00000007" w14:textId="77777777" w:rsidR="00B20D8D" w:rsidRDefault="00000000">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b/>
          <w:color w:val="000000"/>
          <w:sz w:val="20"/>
          <w:szCs w:val="20"/>
        </w:rPr>
        <w:t>Results.</w:t>
      </w:r>
      <w:r>
        <w:rPr>
          <w:rFonts w:ascii="Calibri" w:eastAsia="Calibri" w:hAnsi="Calibri" w:cs="Calibri"/>
          <w:color w:val="000000"/>
          <w:sz w:val="20"/>
          <w:szCs w:val="20"/>
        </w:rPr>
        <w:t xml:space="preserve"> </w:t>
      </w:r>
      <w:r>
        <w:rPr>
          <w:rFonts w:ascii="Calibri" w:eastAsia="Calibri" w:hAnsi="Calibri" w:cs="Calibri"/>
          <w:color w:val="202021"/>
          <w:sz w:val="20"/>
          <w:szCs w:val="20"/>
          <w:shd w:val="clear" w:color="auto" w:fill="FAFDFD"/>
        </w:rPr>
        <w:t xml:space="preserve">A total of 5,358 records were identified, of which 54 studies met inclusion criteria including 9 randomised controlled trials, 3 pre-post studies, 1 cross sectional study, 1 pharmacovigilance study, 34 case reports, and 6 case series. </w:t>
      </w:r>
      <w:r>
        <w:rPr>
          <w:rFonts w:ascii="Calibri" w:eastAsia="Calibri" w:hAnsi="Calibri" w:cs="Calibri"/>
          <w:color w:val="000000"/>
          <w:sz w:val="20"/>
          <w:szCs w:val="20"/>
          <w:highlight w:val="white"/>
        </w:rPr>
        <w:t xml:space="preserve">ADWR signs and symptoms were classified into five categories: </w:t>
      </w:r>
      <w:r>
        <w:rPr>
          <w:rFonts w:ascii="Calibri" w:eastAsia="Calibri" w:hAnsi="Calibri" w:cs="Calibri"/>
          <w:sz w:val="20"/>
          <w:szCs w:val="20"/>
          <w:highlight w:val="white"/>
        </w:rPr>
        <w:t xml:space="preserve"> behavioural (n=33 studies), neurological/sensory (n=31), neuropsychiatric/cognitive</w:t>
      </w:r>
      <w:r>
        <w:rPr>
          <w:rFonts w:ascii="Calibri" w:eastAsia="Calibri" w:hAnsi="Calibri" w:cs="Calibri"/>
          <w:color w:val="FF00FF"/>
          <w:sz w:val="20"/>
          <w:szCs w:val="20"/>
          <w:highlight w:val="white"/>
        </w:rPr>
        <w:t xml:space="preserve"> </w:t>
      </w:r>
      <w:r>
        <w:rPr>
          <w:rFonts w:ascii="Calibri" w:eastAsia="Calibri" w:hAnsi="Calibri" w:cs="Calibri"/>
          <w:sz w:val="20"/>
          <w:szCs w:val="20"/>
          <w:highlight w:val="white"/>
        </w:rPr>
        <w:t>(n=29), autonomic/physical (n=28) and gastrointestinal (n=13).</w:t>
      </w:r>
      <w:r>
        <w:rPr>
          <w:rFonts w:ascii="Calibri" w:eastAsia="Calibri" w:hAnsi="Calibri" w:cs="Calibri"/>
          <w:color w:val="000000"/>
          <w:sz w:val="20"/>
          <w:szCs w:val="20"/>
          <w:highlight w:val="white"/>
        </w:rPr>
        <w:t xml:space="preserve"> Among these, </w:t>
      </w:r>
      <w:r>
        <w:rPr>
          <w:rFonts w:ascii="Calibri" w:eastAsia="Calibri" w:hAnsi="Calibri" w:cs="Calibri"/>
          <w:sz w:val="20"/>
          <w:szCs w:val="20"/>
          <w:shd w:val="clear" w:color="auto" w:fill="FAFDFD"/>
        </w:rPr>
        <w:t>b</w:t>
      </w:r>
      <w:r>
        <w:rPr>
          <w:rFonts w:ascii="Calibri" w:eastAsia="Calibri" w:hAnsi="Calibri" w:cs="Calibri"/>
          <w:color w:val="000000"/>
          <w:sz w:val="20"/>
          <w:szCs w:val="20"/>
          <w:shd w:val="clear" w:color="auto" w:fill="FAFDFD"/>
        </w:rPr>
        <w:t xml:space="preserve">ehavioural symptoms were the most frequently reported, including agitation, insomnia, and restlessness. Most reactions were mild to moderate, </w:t>
      </w:r>
      <w:r>
        <w:rPr>
          <w:rFonts w:ascii="Calibri" w:eastAsia="Calibri" w:hAnsi="Calibri" w:cs="Calibri"/>
          <w:color w:val="202021"/>
          <w:sz w:val="20"/>
          <w:szCs w:val="20"/>
          <w:shd w:val="clear" w:color="auto" w:fill="FAFDFD"/>
        </w:rPr>
        <w:t>although severe outcomes such as status epilepticus, suicide attempts,</w:t>
      </w:r>
      <w:r>
        <w:rPr>
          <w:rFonts w:ascii="Calibri" w:eastAsia="Calibri" w:hAnsi="Calibri" w:cs="Calibri"/>
          <w:color w:val="202021"/>
          <w:sz w:val="20"/>
          <w:szCs w:val="20"/>
        </w:rPr>
        <w:t xml:space="preserve"> and ICU admi</w:t>
      </w:r>
      <w:r>
        <w:rPr>
          <w:rFonts w:ascii="Calibri" w:eastAsia="Calibri" w:hAnsi="Calibri" w:cs="Calibri"/>
          <w:color w:val="202021"/>
          <w:sz w:val="20"/>
          <w:szCs w:val="20"/>
          <w:shd w:val="clear" w:color="auto" w:fill="FAFDFD"/>
        </w:rPr>
        <w:t>ssions were identified in 4 patients</w:t>
      </w:r>
      <w:r>
        <w:rPr>
          <w:rFonts w:ascii="Calibri" w:eastAsia="Calibri" w:hAnsi="Calibri" w:cs="Calibri"/>
          <w:color w:val="000000"/>
          <w:sz w:val="20"/>
          <w:szCs w:val="20"/>
          <w:shd w:val="clear" w:color="auto" w:fill="FAFDFD"/>
        </w:rPr>
        <w:t>. The onset of ADWRs rang</w:t>
      </w:r>
      <w:r>
        <w:rPr>
          <w:rFonts w:ascii="Calibri" w:eastAsia="Calibri" w:hAnsi="Calibri" w:cs="Calibri"/>
          <w:sz w:val="20"/>
          <w:szCs w:val="20"/>
          <w:shd w:val="clear" w:color="auto" w:fill="FAFDFD"/>
        </w:rPr>
        <w:t>ed</w:t>
      </w:r>
      <w:r>
        <w:rPr>
          <w:rFonts w:ascii="Calibri" w:eastAsia="Calibri" w:hAnsi="Calibri" w:cs="Calibri"/>
          <w:color w:val="000000"/>
          <w:sz w:val="20"/>
          <w:szCs w:val="20"/>
          <w:shd w:val="clear" w:color="auto" w:fill="FAFDFD"/>
        </w:rPr>
        <w:t xml:space="preserve"> from immediate </w:t>
      </w:r>
      <w:r>
        <w:rPr>
          <w:rFonts w:ascii="Calibri" w:eastAsia="Calibri" w:hAnsi="Calibri" w:cs="Calibri"/>
          <w:sz w:val="20"/>
          <w:szCs w:val="20"/>
          <w:shd w:val="clear" w:color="auto" w:fill="FAFDFD"/>
        </w:rPr>
        <w:t>to 2 months post-</w:t>
      </w:r>
      <w:r>
        <w:rPr>
          <w:rFonts w:ascii="Calibri" w:eastAsia="Calibri" w:hAnsi="Calibri" w:cs="Calibri"/>
          <w:color w:val="000000"/>
          <w:sz w:val="20"/>
          <w:szCs w:val="20"/>
          <w:shd w:val="clear" w:color="auto" w:fill="FAFDFD"/>
        </w:rPr>
        <w:t xml:space="preserve">deprescribing, </w:t>
      </w:r>
      <w:r>
        <w:rPr>
          <w:rFonts w:ascii="Calibri" w:eastAsia="Calibri" w:hAnsi="Calibri" w:cs="Calibri"/>
          <w:sz w:val="20"/>
          <w:szCs w:val="20"/>
          <w:shd w:val="clear" w:color="auto" w:fill="FAFDFD"/>
        </w:rPr>
        <w:t>and the duration ranged from</w:t>
      </w:r>
      <w:r>
        <w:rPr>
          <w:rFonts w:ascii="Calibri" w:eastAsia="Calibri" w:hAnsi="Calibri" w:cs="Calibri"/>
          <w:color w:val="000000"/>
          <w:sz w:val="20"/>
          <w:szCs w:val="20"/>
          <w:shd w:val="clear" w:color="auto" w:fill="FAFDFD"/>
        </w:rPr>
        <w:t xml:space="preserve"> </w:t>
      </w:r>
      <w:r>
        <w:rPr>
          <w:rFonts w:ascii="Calibri" w:eastAsia="Calibri" w:hAnsi="Calibri" w:cs="Calibri"/>
          <w:sz w:val="20"/>
          <w:szCs w:val="20"/>
          <w:shd w:val="clear" w:color="auto" w:fill="FAFDFD"/>
        </w:rPr>
        <w:t>immediate resolution to 6.5 months</w:t>
      </w:r>
      <w:r>
        <w:rPr>
          <w:rFonts w:ascii="Calibri" w:eastAsia="Calibri" w:hAnsi="Calibri" w:cs="Calibri"/>
          <w:color w:val="000000"/>
          <w:sz w:val="20"/>
          <w:szCs w:val="20"/>
          <w:shd w:val="clear" w:color="auto" w:fill="FAFDFD"/>
        </w:rPr>
        <w:t>.</w:t>
      </w:r>
    </w:p>
    <w:p w14:paraId="00000008" w14:textId="77777777" w:rsidR="00B20D8D" w:rsidRDefault="00000000">
      <w:pPr>
        <w:pBdr>
          <w:top w:val="nil"/>
          <w:left w:val="nil"/>
          <w:bottom w:val="nil"/>
          <w:right w:val="nil"/>
          <w:between w:val="nil"/>
        </w:pBdr>
        <w:jc w:val="both"/>
        <w:rPr>
          <w:rFonts w:ascii="Calibri" w:eastAsia="Calibri" w:hAnsi="Calibri" w:cs="Calibri"/>
          <w:sz w:val="20"/>
          <w:szCs w:val="20"/>
        </w:rPr>
      </w:pPr>
      <w:r>
        <w:rPr>
          <w:rFonts w:ascii="Calibri" w:eastAsia="Calibri" w:hAnsi="Calibri" w:cs="Calibri"/>
          <w:b/>
          <w:color w:val="000000"/>
          <w:sz w:val="20"/>
          <w:szCs w:val="20"/>
        </w:rPr>
        <w:t>Discussion</w:t>
      </w:r>
      <w:r>
        <w:rPr>
          <w:rFonts w:ascii="Calibri" w:eastAsia="Calibri" w:hAnsi="Calibri" w:cs="Calibri"/>
          <w:b/>
          <w:sz w:val="20"/>
          <w:szCs w:val="20"/>
        </w:rPr>
        <w:t>.</w:t>
      </w:r>
      <w:r>
        <w:rPr>
          <w:rFonts w:ascii="Calibri" w:eastAsia="Calibri" w:hAnsi="Calibri" w:cs="Calibri"/>
          <w:sz w:val="20"/>
          <w:szCs w:val="20"/>
        </w:rPr>
        <w:t xml:space="preserve"> Despite the predominant inclusion of case reports, this review describes a wide range of ADWRs associated with </w:t>
      </w:r>
      <w:proofErr w:type="spellStart"/>
      <w:r>
        <w:rPr>
          <w:rFonts w:ascii="Calibri" w:eastAsia="Calibri" w:hAnsi="Calibri" w:cs="Calibri"/>
          <w:sz w:val="20"/>
          <w:szCs w:val="20"/>
        </w:rPr>
        <w:t>gabapentinoids</w:t>
      </w:r>
      <w:proofErr w:type="spellEnd"/>
      <w:r>
        <w:rPr>
          <w:rFonts w:ascii="Calibri" w:eastAsia="Calibri" w:hAnsi="Calibri" w:cs="Calibri"/>
          <w:sz w:val="20"/>
          <w:szCs w:val="20"/>
        </w:rPr>
        <w:t>, including rare but severe cases. These findings underscore the importance of optimising prevention, early detection and management of ADWRs. This review may aid in developing monitoring protocols and resources to support clinicians and consumers. To minimise the risks of deprescribing, further high-quality research is needed to inform clinical practice guidelines.</w:t>
      </w:r>
    </w:p>
    <w:p w14:paraId="00000009" w14:textId="77777777" w:rsidR="00B20D8D" w:rsidRDefault="00B20D8D">
      <w:pPr>
        <w:pBdr>
          <w:top w:val="nil"/>
          <w:left w:val="nil"/>
          <w:bottom w:val="nil"/>
          <w:right w:val="nil"/>
          <w:between w:val="nil"/>
        </w:pBdr>
        <w:jc w:val="both"/>
        <w:rPr>
          <w:rFonts w:ascii="Arial" w:eastAsia="Arial" w:hAnsi="Arial" w:cs="Arial"/>
          <w:b/>
          <w:sz w:val="20"/>
          <w:szCs w:val="20"/>
          <w:u w:val="single"/>
        </w:rPr>
      </w:pPr>
    </w:p>
    <w:sectPr w:rsidR="00B20D8D">
      <w:pgSz w:w="11906" w:h="8391" w:orient="landscape"/>
      <w:pgMar w:top="85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B0604020202020204"/>
    <w:charset w:val="00"/>
    <w:family w:val="roman"/>
    <w:notTrueType/>
    <w:pitch w:val="default"/>
  </w:font>
  <w:font w:name="PMingLiU">
    <w:altName w:val="新細明體"/>
    <w:panose1 w:val="02020500000000000000"/>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roman"/>
    <w:pitch w:val="default"/>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D8D"/>
    <w:rsid w:val="008316A4"/>
    <w:rsid w:val="00A246F1"/>
    <w:rsid w:val="00B20D8D"/>
    <w:rsid w:val="00C84AF6"/>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99ED2D5"/>
  <w15:docId w15:val="{557DACB7-7C4E-6743-8252-C4C355C7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120" w:after="60"/>
      <w:jc w:val="center"/>
      <w:outlineLvl w:val="2"/>
    </w:pPr>
    <w:rPr>
      <w:b/>
      <w:smallCap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Indent3">
    <w:name w:val="Body Text Indent 3"/>
    <w:basedOn w:val="Normal"/>
    <w:pPr>
      <w:suppressAutoHyphens/>
      <w:spacing w:before="120" w:after="120" w:line="1" w:lineRule="atLeast"/>
      <w:ind w:leftChars="-1" w:left="-90" w:hangingChars="1" w:hanging="1"/>
      <w:jc w:val="center"/>
      <w:textDirection w:val="btLr"/>
      <w:textAlignment w:val="top"/>
      <w:outlineLvl w:val="0"/>
    </w:pPr>
    <w:rPr>
      <w:rFonts w:ascii="Times" w:hAnsi="Times"/>
      <w:position w:val="-1"/>
      <w:szCs w:val="20"/>
    </w:rPr>
  </w:style>
  <w:style w:type="character" w:customStyle="1" w:styleId="Heading5Char">
    <w:name w:val="Heading 5 Char"/>
    <w:rPr>
      <w:rFonts w:ascii="Calibri" w:eastAsia="PMingLiU" w:hAnsi="Calibri" w:cs="Times New Roman"/>
      <w:b/>
      <w:bCs/>
      <w:i/>
      <w:iCs/>
      <w:w w:val="100"/>
      <w:position w:val="-1"/>
      <w:sz w:val="26"/>
      <w:szCs w:val="26"/>
      <w:effect w:val="none"/>
      <w:vertAlign w:val="baseline"/>
      <w:cs w:val="0"/>
      <w:em w:val="none"/>
      <w:lang w:eastAsia="en-US"/>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Calibri" w:eastAsia="Calibri" w:hAnsi="Calibri" w:cs="Calibri"/>
      <w:color w:val="000000"/>
      <w:position w:val="-1"/>
      <w:lang w:val="en-US" w:eastAsia="en-US"/>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character" w:styleId="Strong">
    <w:name w:val="Strong"/>
    <w:rPr>
      <w:b/>
      <w:bCs/>
      <w:w w:val="100"/>
      <w:position w:val="-1"/>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7ZD6e4QVa4d42AD8KFjbb9/XWQ==">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dc:creator>
  <cp:lastModifiedBy>Yujoung Joung</cp:lastModifiedBy>
  <cp:revision>2</cp:revision>
  <dcterms:created xsi:type="dcterms:W3CDTF">2025-09-15T05:20:00Z</dcterms:created>
  <dcterms:modified xsi:type="dcterms:W3CDTF">2025-09-15T05:20:00Z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