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F4BA" w14:textId="789E296E" w:rsidR="00F9549C" w:rsidRPr="00CF1B06" w:rsidRDefault="006405A6" w:rsidP="00F9549C">
      <w:pPr>
        <w:jc w:val="both"/>
        <w:rPr>
          <w:rFonts w:ascii="Calibri" w:hAnsi="Calibri" w:cs="Calibri"/>
          <w:b/>
          <w:color w:val="000000" w:themeColor="text1"/>
          <w:sz w:val="20"/>
          <w:szCs w:val="20"/>
          <w:lang w:val="en-CA"/>
        </w:rPr>
      </w:pPr>
      <w:r w:rsidRPr="00CF1B06">
        <w:rPr>
          <w:rFonts w:ascii="Calibri" w:hAnsi="Calibri" w:cs="Calibri"/>
          <w:b/>
          <w:color w:val="000000" w:themeColor="text1"/>
          <w:sz w:val="20"/>
          <w:szCs w:val="20"/>
          <w:lang w:val="en-CA"/>
        </w:rPr>
        <w:t xml:space="preserve">Accurate prediction of genotype and phenotype among </w:t>
      </w:r>
      <w:r w:rsidRPr="00CF1B06">
        <w:rPr>
          <w:rFonts w:ascii="Calibri" w:hAnsi="Calibri" w:cs="Calibri"/>
          <w:b/>
          <w:i/>
          <w:iCs/>
          <w:color w:val="000000" w:themeColor="text1"/>
          <w:sz w:val="20"/>
          <w:szCs w:val="20"/>
          <w:lang w:val="en-CA"/>
        </w:rPr>
        <w:t>CYP2D6</w:t>
      </w:r>
      <w:r w:rsidRPr="00CF1B06">
        <w:rPr>
          <w:rFonts w:ascii="Calibri" w:hAnsi="Calibri" w:cs="Calibri"/>
          <w:b/>
          <w:color w:val="000000" w:themeColor="text1"/>
          <w:sz w:val="20"/>
          <w:szCs w:val="20"/>
          <w:lang w:val="en-CA"/>
        </w:rPr>
        <w:t xml:space="preserve"> copy number variation</w:t>
      </w:r>
      <w:r w:rsidR="00810357" w:rsidRPr="00CF1B06">
        <w:rPr>
          <w:rFonts w:ascii="Calibri" w:hAnsi="Calibri" w:cs="Calibri"/>
          <w:b/>
          <w:color w:val="000000" w:themeColor="text1"/>
          <w:sz w:val="20"/>
          <w:szCs w:val="20"/>
          <w:lang w:val="en-CA"/>
        </w:rPr>
        <w:t xml:space="preserve"> carriers</w:t>
      </w:r>
    </w:p>
    <w:p w14:paraId="05C17457" w14:textId="0B5722B0" w:rsidR="00F9549C" w:rsidRPr="00CF1B06" w:rsidRDefault="00F9549C" w:rsidP="00E352DB">
      <w:pPr>
        <w:jc w:val="both"/>
        <w:rPr>
          <w:rFonts w:ascii="Calibri" w:hAnsi="Calibri" w:cs="Calibri"/>
          <w:color w:val="000000" w:themeColor="text1"/>
          <w:sz w:val="20"/>
          <w:szCs w:val="20"/>
          <w:lang w:val="en-CA"/>
        </w:rPr>
      </w:pPr>
      <w:r w:rsidRPr="00CF1B06">
        <w:rPr>
          <w:rFonts w:ascii="Calibri" w:hAnsi="Calibri" w:cs="Calibri"/>
          <w:color w:val="000000" w:themeColor="text1"/>
          <w:sz w:val="20"/>
          <w:szCs w:val="20"/>
          <w:lang w:val="sv-SE"/>
        </w:rPr>
        <w:t>Kathleen Glavin</w:t>
      </w:r>
      <w:r w:rsidRPr="00CF1B06">
        <w:rPr>
          <w:rFonts w:ascii="Calibri" w:hAnsi="Calibri" w:cs="Calibri"/>
          <w:color w:val="000000" w:themeColor="text1"/>
          <w:sz w:val="20"/>
          <w:szCs w:val="20"/>
          <w:vertAlign w:val="superscript"/>
          <w:lang w:val="sv-SE"/>
        </w:rPr>
        <w:t>1</w:t>
      </w:r>
      <w:r w:rsidRPr="00CF1B06">
        <w:rPr>
          <w:rFonts w:ascii="Calibri" w:hAnsi="Calibri" w:cs="Calibri"/>
          <w:color w:val="000000" w:themeColor="text1"/>
          <w:sz w:val="20"/>
          <w:szCs w:val="20"/>
          <w:lang w:val="sv-SE"/>
        </w:rPr>
        <w:t>, Samantha Medwid</w:t>
      </w:r>
      <w:r w:rsidRPr="00CF1B06">
        <w:rPr>
          <w:rFonts w:ascii="Calibri" w:hAnsi="Calibri" w:cs="Calibri"/>
          <w:color w:val="000000" w:themeColor="text1"/>
          <w:sz w:val="20"/>
          <w:szCs w:val="20"/>
          <w:vertAlign w:val="superscript"/>
          <w:lang w:val="sv-SE"/>
        </w:rPr>
        <w:t>2</w:t>
      </w:r>
      <w:r w:rsidRPr="00CF1B06">
        <w:rPr>
          <w:rFonts w:ascii="Calibri" w:hAnsi="Calibri" w:cs="Calibri"/>
          <w:color w:val="000000" w:themeColor="text1"/>
          <w:sz w:val="20"/>
          <w:szCs w:val="20"/>
          <w:lang w:val="sv-SE"/>
        </w:rPr>
        <w:t>, Ute</w:t>
      </w:r>
      <w:r w:rsidR="005806E4" w:rsidRPr="00CF1B06">
        <w:rPr>
          <w:rFonts w:ascii="Calibri" w:hAnsi="Calibri" w:cs="Calibri"/>
          <w:color w:val="000000" w:themeColor="text1"/>
          <w:sz w:val="20"/>
          <w:szCs w:val="20"/>
          <w:lang w:val="sv-SE"/>
        </w:rPr>
        <w:t xml:space="preserve"> I</w:t>
      </w:r>
      <w:r w:rsidRPr="00CF1B06">
        <w:rPr>
          <w:rFonts w:ascii="Calibri" w:hAnsi="Calibri" w:cs="Calibri"/>
          <w:color w:val="000000" w:themeColor="text1"/>
          <w:sz w:val="20"/>
          <w:szCs w:val="20"/>
          <w:lang w:val="sv-SE"/>
        </w:rPr>
        <w:t xml:space="preserve"> Schwarz</w:t>
      </w:r>
      <w:r w:rsidRPr="00CF1B06">
        <w:rPr>
          <w:rFonts w:ascii="Calibri" w:hAnsi="Calibri" w:cs="Calibri"/>
          <w:color w:val="000000" w:themeColor="text1"/>
          <w:sz w:val="20"/>
          <w:szCs w:val="20"/>
          <w:vertAlign w:val="superscript"/>
          <w:lang w:val="sv-SE"/>
        </w:rPr>
        <w:t>1,</w:t>
      </w:r>
      <w:r w:rsidR="00936865">
        <w:rPr>
          <w:rFonts w:ascii="Calibri" w:hAnsi="Calibri" w:cs="Calibri"/>
          <w:color w:val="000000" w:themeColor="text1"/>
          <w:sz w:val="20"/>
          <w:szCs w:val="20"/>
          <w:vertAlign w:val="superscript"/>
          <w:lang w:val="sv-SE"/>
        </w:rPr>
        <w:t xml:space="preserve"> </w:t>
      </w:r>
      <w:r w:rsidRPr="00CF1B06">
        <w:rPr>
          <w:rFonts w:ascii="Calibri" w:hAnsi="Calibri" w:cs="Calibri"/>
          <w:color w:val="000000" w:themeColor="text1"/>
          <w:sz w:val="20"/>
          <w:szCs w:val="20"/>
          <w:vertAlign w:val="superscript"/>
          <w:lang w:val="sv-SE"/>
        </w:rPr>
        <w:t>2</w:t>
      </w:r>
      <w:r w:rsidRPr="00CF1B06">
        <w:rPr>
          <w:rFonts w:ascii="Calibri" w:hAnsi="Calibri" w:cs="Calibri"/>
          <w:color w:val="000000" w:themeColor="text1"/>
          <w:sz w:val="20"/>
          <w:szCs w:val="20"/>
          <w:lang w:val="sv-SE"/>
        </w:rPr>
        <w:t>, Richard B Kim</w:t>
      </w:r>
      <w:r w:rsidRPr="00CF1B06">
        <w:rPr>
          <w:rFonts w:ascii="Calibri" w:hAnsi="Calibri" w:cs="Calibri"/>
          <w:color w:val="000000" w:themeColor="text1"/>
          <w:sz w:val="20"/>
          <w:szCs w:val="20"/>
          <w:vertAlign w:val="superscript"/>
          <w:lang w:val="sv-SE"/>
        </w:rPr>
        <w:t>1,</w:t>
      </w:r>
      <w:r w:rsidR="00936865">
        <w:rPr>
          <w:rFonts w:ascii="Calibri" w:hAnsi="Calibri" w:cs="Calibri"/>
          <w:color w:val="000000" w:themeColor="text1"/>
          <w:sz w:val="20"/>
          <w:szCs w:val="20"/>
          <w:vertAlign w:val="superscript"/>
          <w:lang w:val="sv-SE"/>
        </w:rPr>
        <w:t xml:space="preserve"> </w:t>
      </w:r>
      <w:r w:rsidRPr="00CF1B06">
        <w:rPr>
          <w:rFonts w:ascii="Calibri" w:hAnsi="Calibri" w:cs="Calibri"/>
          <w:color w:val="000000" w:themeColor="text1"/>
          <w:sz w:val="20"/>
          <w:szCs w:val="20"/>
          <w:vertAlign w:val="superscript"/>
          <w:lang w:val="sv-SE"/>
        </w:rPr>
        <w:t>2</w:t>
      </w:r>
      <w:r w:rsidRPr="00CF1B06">
        <w:rPr>
          <w:rFonts w:ascii="Calibri" w:hAnsi="Calibri" w:cs="Calibri"/>
          <w:color w:val="000000" w:themeColor="text1"/>
          <w:sz w:val="20"/>
          <w:szCs w:val="20"/>
          <w:lang w:val="sv-SE"/>
        </w:rPr>
        <w:t xml:space="preserve">. </w:t>
      </w:r>
      <w:r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Dep</w:t>
      </w:r>
      <w:r w:rsidR="000A71C7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t</w:t>
      </w:r>
      <w:r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of Physiology and Pharmacology, Western Univ</w:t>
      </w:r>
      <w:r w:rsidR="00907D2D" w:rsidRPr="00CF1B06">
        <w:rPr>
          <w:rFonts w:ascii="Calibri" w:hAnsi="Calibri" w:cs="Calibri"/>
          <w:color w:val="000000" w:themeColor="text1"/>
          <w:sz w:val="20"/>
          <w:szCs w:val="20"/>
          <w:vertAlign w:val="superscript"/>
          <w:lang w:val="en-CA"/>
        </w:rPr>
        <w:t>1</w:t>
      </w:r>
      <w:r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, London, ON, Canada; Dep</w:t>
      </w:r>
      <w:r w:rsidR="000A71C7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t</w:t>
      </w:r>
      <w:r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of Medicine, Western Univ</w:t>
      </w:r>
      <w:r w:rsidR="00907D2D" w:rsidRPr="00CF1B06">
        <w:rPr>
          <w:rFonts w:ascii="Calibri" w:hAnsi="Calibri" w:cs="Calibri"/>
          <w:color w:val="000000" w:themeColor="text1"/>
          <w:sz w:val="20"/>
          <w:szCs w:val="20"/>
          <w:vertAlign w:val="superscript"/>
          <w:lang w:val="en-CA"/>
        </w:rPr>
        <w:t>2</w:t>
      </w:r>
      <w:r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, London, ON, Canada</w:t>
      </w:r>
      <w:r w:rsidR="003D59A0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.</w:t>
      </w:r>
    </w:p>
    <w:tbl>
      <w:tblPr>
        <w:tblStyle w:val="TableGrid"/>
        <w:tblpPr w:leftFromText="180" w:rightFromText="180" w:vertAnchor="text" w:horzAnchor="margin" w:tblpXSpec="right" w:tblpY="1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301"/>
        <w:gridCol w:w="956"/>
      </w:tblGrid>
      <w:tr w:rsidR="003D59A0" w:rsidRPr="00CF1B06" w14:paraId="5D58F96E" w14:textId="77777777" w:rsidTr="003D59A0">
        <w:trPr>
          <w:trHeight w:val="20"/>
        </w:trPr>
        <w:tc>
          <w:tcPr>
            <w:tcW w:w="851" w:type="dxa"/>
            <w:vAlign w:val="center"/>
          </w:tcPr>
          <w:p w14:paraId="102A51CB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val="en-CA"/>
              </w:rPr>
              <w:t>Previous AS</w:t>
            </w:r>
          </w:p>
        </w:tc>
        <w:tc>
          <w:tcPr>
            <w:tcW w:w="301" w:type="dxa"/>
            <w:vAlign w:val="center"/>
          </w:tcPr>
          <w:p w14:paraId="42908F72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val="en-CA"/>
              </w:rPr>
              <w:t>N</w:t>
            </w:r>
          </w:p>
        </w:tc>
        <w:tc>
          <w:tcPr>
            <w:tcW w:w="956" w:type="dxa"/>
            <w:vAlign w:val="center"/>
          </w:tcPr>
          <w:p w14:paraId="3EDBD2D1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val="en-CA"/>
              </w:rPr>
            </w:pPr>
            <w:proofErr w:type="gramStart"/>
            <w:r w:rsidRPr="00CF1B0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val="en-CA"/>
              </w:rPr>
              <w:t>Ln(</w:t>
            </w:r>
            <w:proofErr w:type="gramEnd"/>
            <w:r w:rsidRPr="00CF1B0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val="en-CA"/>
              </w:rPr>
              <w:t>M414/</w:t>
            </w:r>
          </w:p>
          <w:p w14:paraId="123383EE" w14:textId="1A58E0B4" w:rsidR="003D59A0" w:rsidRPr="00CF1B06" w:rsidRDefault="003D59A0" w:rsidP="003D59A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val="en-CA"/>
              </w:rPr>
              <w:t xml:space="preserve">solanidine) </w:t>
            </w:r>
            <w:r w:rsidRPr="00CF1B0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±</w:t>
            </w:r>
            <w:r w:rsidRPr="00CF1B0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val="en-CA"/>
              </w:rPr>
              <w:t>SD</w:t>
            </w:r>
          </w:p>
        </w:tc>
      </w:tr>
      <w:tr w:rsidR="003D59A0" w:rsidRPr="00CF1B06" w14:paraId="443350C6" w14:textId="77777777" w:rsidTr="003D59A0">
        <w:trPr>
          <w:trHeight w:val="20"/>
        </w:trPr>
        <w:tc>
          <w:tcPr>
            <w:tcW w:w="851" w:type="dxa"/>
            <w:vAlign w:val="center"/>
          </w:tcPr>
          <w:p w14:paraId="3965E51A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0.25</w:t>
            </w:r>
          </w:p>
        </w:tc>
        <w:tc>
          <w:tcPr>
            <w:tcW w:w="301" w:type="dxa"/>
            <w:vAlign w:val="center"/>
          </w:tcPr>
          <w:p w14:paraId="1512DEC1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3</w:t>
            </w:r>
          </w:p>
        </w:tc>
        <w:tc>
          <w:tcPr>
            <w:tcW w:w="956" w:type="dxa"/>
            <w:vAlign w:val="center"/>
          </w:tcPr>
          <w:p w14:paraId="0FF85075" w14:textId="6CE14D21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1.25</w:t>
            </w:r>
            <w:r w:rsidR="00292614" w:rsidRPr="00292614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±</w:t>
            </w: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0.71</w:t>
            </w:r>
          </w:p>
        </w:tc>
      </w:tr>
      <w:tr w:rsidR="003D59A0" w:rsidRPr="00CF1B06" w14:paraId="1EE00B1B" w14:textId="77777777" w:rsidTr="003D59A0">
        <w:trPr>
          <w:trHeight w:val="20"/>
        </w:trPr>
        <w:tc>
          <w:tcPr>
            <w:tcW w:w="851" w:type="dxa"/>
            <w:vAlign w:val="center"/>
          </w:tcPr>
          <w:p w14:paraId="7FAEA593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1</w:t>
            </w:r>
          </w:p>
        </w:tc>
        <w:tc>
          <w:tcPr>
            <w:tcW w:w="301" w:type="dxa"/>
            <w:vAlign w:val="center"/>
          </w:tcPr>
          <w:p w14:paraId="6A12FCF3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1</w:t>
            </w:r>
          </w:p>
        </w:tc>
        <w:tc>
          <w:tcPr>
            <w:tcW w:w="956" w:type="dxa"/>
            <w:vAlign w:val="center"/>
          </w:tcPr>
          <w:p w14:paraId="757EDC8D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2.30</w:t>
            </w:r>
          </w:p>
        </w:tc>
      </w:tr>
      <w:tr w:rsidR="003D59A0" w:rsidRPr="00CF1B06" w14:paraId="494C0B3F" w14:textId="77777777" w:rsidTr="003D59A0">
        <w:trPr>
          <w:trHeight w:val="20"/>
        </w:trPr>
        <w:tc>
          <w:tcPr>
            <w:tcW w:w="851" w:type="dxa"/>
            <w:vAlign w:val="center"/>
          </w:tcPr>
          <w:p w14:paraId="1416C448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2</w:t>
            </w:r>
          </w:p>
        </w:tc>
        <w:tc>
          <w:tcPr>
            <w:tcW w:w="301" w:type="dxa"/>
            <w:vAlign w:val="center"/>
          </w:tcPr>
          <w:p w14:paraId="4874BDD8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12</w:t>
            </w:r>
          </w:p>
        </w:tc>
        <w:tc>
          <w:tcPr>
            <w:tcW w:w="956" w:type="dxa"/>
            <w:vAlign w:val="center"/>
          </w:tcPr>
          <w:p w14:paraId="41A3F072" w14:textId="331BFD50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2.00</w:t>
            </w:r>
            <w:r w:rsidR="00292614" w:rsidRPr="00292614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±</w:t>
            </w: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0.56</w:t>
            </w:r>
          </w:p>
        </w:tc>
      </w:tr>
      <w:tr w:rsidR="003D59A0" w:rsidRPr="00CF1B06" w14:paraId="4EEC5A3E" w14:textId="77777777" w:rsidTr="003D59A0">
        <w:trPr>
          <w:trHeight w:val="20"/>
        </w:trPr>
        <w:tc>
          <w:tcPr>
            <w:tcW w:w="851" w:type="dxa"/>
            <w:vAlign w:val="center"/>
          </w:tcPr>
          <w:p w14:paraId="055854D2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2.25</w:t>
            </w:r>
          </w:p>
        </w:tc>
        <w:tc>
          <w:tcPr>
            <w:tcW w:w="301" w:type="dxa"/>
            <w:vAlign w:val="center"/>
          </w:tcPr>
          <w:p w14:paraId="28BAA31B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16</w:t>
            </w:r>
          </w:p>
        </w:tc>
        <w:tc>
          <w:tcPr>
            <w:tcW w:w="956" w:type="dxa"/>
            <w:vAlign w:val="center"/>
          </w:tcPr>
          <w:p w14:paraId="1B0FF9BC" w14:textId="6FB65D19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1.9</w:t>
            </w:r>
            <w:r w:rsidR="00F2409C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8</w:t>
            </w:r>
            <w:r w:rsidR="00292614" w:rsidRPr="00292614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±</w:t>
            </w: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0.41</w:t>
            </w:r>
          </w:p>
        </w:tc>
      </w:tr>
      <w:tr w:rsidR="003D59A0" w:rsidRPr="00CF1B06" w14:paraId="14FE9849" w14:textId="77777777" w:rsidTr="003D59A0">
        <w:trPr>
          <w:trHeight w:val="20"/>
        </w:trPr>
        <w:tc>
          <w:tcPr>
            <w:tcW w:w="851" w:type="dxa"/>
            <w:vAlign w:val="center"/>
          </w:tcPr>
          <w:p w14:paraId="5C4ED829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val="en-CA"/>
              </w:rPr>
              <w:t>Expanded AS</w:t>
            </w:r>
          </w:p>
        </w:tc>
        <w:tc>
          <w:tcPr>
            <w:tcW w:w="301" w:type="dxa"/>
            <w:vAlign w:val="center"/>
          </w:tcPr>
          <w:p w14:paraId="57C77C5A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956" w:type="dxa"/>
            <w:vAlign w:val="center"/>
          </w:tcPr>
          <w:p w14:paraId="1AFA7246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</w:p>
        </w:tc>
      </w:tr>
      <w:tr w:rsidR="003D59A0" w:rsidRPr="00CF1B06" w14:paraId="5D86AC30" w14:textId="77777777" w:rsidTr="003D59A0">
        <w:trPr>
          <w:trHeight w:val="20"/>
        </w:trPr>
        <w:tc>
          <w:tcPr>
            <w:tcW w:w="851" w:type="dxa"/>
            <w:vAlign w:val="center"/>
          </w:tcPr>
          <w:p w14:paraId="0624EC7C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0.25</w:t>
            </w:r>
          </w:p>
        </w:tc>
        <w:tc>
          <w:tcPr>
            <w:tcW w:w="301" w:type="dxa"/>
            <w:vAlign w:val="center"/>
          </w:tcPr>
          <w:p w14:paraId="5190FADB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3</w:t>
            </w:r>
          </w:p>
        </w:tc>
        <w:tc>
          <w:tcPr>
            <w:tcW w:w="956" w:type="dxa"/>
            <w:vAlign w:val="center"/>
          </w:tcPr>
          <w:p w14:paraId="41F48B09" w14:textId="0C67B5A3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1.25</w:t>
            </w:r>
            <w:r w:rsidR="00292614" w:rsidRPr="00292614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±</w:t>
            </w: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0.71</w:t>
            </w:r>
          </w:p>
        </w:tc>
      </w:tr>
      <w:tr w:rsidR="003D59A0" w:rsidRPr="00CF1B06" w14:paraId="12D28569" w14:textId="77777777" w:rsidTr="003D59A0">
        <w:trPr>
          <w:trHeight w:val="20"/>
        </w:trPr>
        <w:tc>
          <w:tcPr>
            <w:tcW w:w="851" w:type="dxa"/>
            <w:vAlign w:val="center"/>
          </w:tcPr>
          <w:p w14:paraId="12889810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0.75</w:t>
            </w:r>
          </w:p>
        </w:tc>
        <w:tc>
          <w:tcPr>
            <w:tcW w:w="301" w:type="dxa"/>
            <w:vAlign w:val="center"/>
          </w:tcPr>
          <w:p w14:paraId="1D3E6380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1</w:t>
            </w:r>
          </w:p>
        </w:tc>
        <w:tc>
          <w:tcPr>
            <w:tcW w:w="956" w:type="dxa"/>
            <w:vAlign w:val="center"/>
          </w:tcPr>
          <w:p w14:paraId="7D7BD620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2.30</w:t>
            </w:r>
          </w:p>
        </w:tc>
      </w:tr>
      <w:tr w:rsidR="003D59A0" w:rsidRPr="00CF1B06" w14:paraId="31197E02" w14:textId="77777777" w:rsidTr="003D59A0">
        <w:trPr>
          <w:trHeight w:val="20"/>
        </w:trPr>
        <w:tc>
          <w:tcPr>
            <w:tcW w:w="851" w:type="dxa"/>
            <w:vAlign w:val="center"/>
          </w:tcPr>
          <w:p w14:paraId="3154C352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1</w:t>
            </w:r>
          </w:p>
        </w:tc>
        <w:tc>
          <w:tcPr>
            <w:tcW w:w="301" w:type="dxa"/>
            <w:vAlign w:val="center"/>
          </w:tcPr>
          <w:p w14:paraId="1BD5E0C8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11</w:t>
            </w:r>
          </w:p>
        </w:tc>
        <w:tc>
          <w:tcPr>
            <w:tcW w:w="956" w:type="dxa"/>
            <w:vAlign w:val="center"/>
          </w:tcPr>
          <w:p w14:paraId="771D10C6" w14:textId="382CED2E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1.98</w:t>
            </w:r>
            <w:r w:rsidR="00292614" w:rsidRPr="00292614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±</w:t>
            </w: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0.58</w:t>
            </w:r>
          </w:p>
        </w:tc>
      </w:tr>
      <w:tr w:rsidR="003D59A0" w:rsidRPr="00CF1B06" w14:paraId="62095CAE" w14:textId="77777777" w:rsidTr="003D59A0">
        <w:trPr>
          <w:trHeight w:val="20"/>
        </w:trPr>
        <w:tc>
          <w:tcPr>
            <w:tcW w:w="851" w:type="dxa"/>
            <w:vAlign w:val="center"/>
          </w:tcPr>
          <w:p w14:paraId="3A03D2CA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1.25</w:t>
            </w:r>
          </w:p>
        </w:tc>
        <w:tc>
          <w:tcPr>
            <w:tcW w:w="301" w:type="dxa"/>
            <w:vAlign w:val="center"/>
          </w:tcPr>
          <w:p w14:paraId="3FBA74D6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1</w:t>
            </w:r>
          </w:p>
        </w:tc>
        <w:tc>
          <w:tcPr>
            <w:tcW w:w="956" w:type="dxa"/>
            <w:vAlign w:val="center"/>
          </w:tcPr>
          <w:p w14:paraId="6F210D55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1.30</w:t>
            </w:r>
          </w:p>
        </w:tc>
      </w:tr>
      <w:tr w:rsidR="003D59A0" w:rsidRPr="00CF1B06" w14:paraId="76B2F6C0" w14:textId="77777777" w:rsidTr="003D59A0">
        <w:trPr>
          <w:trHeight w:val="20"/>
        </w:trPr>
        <w:tc>
          <w:tcPr>
            <w:tcW w:w="851" w:type="dxa"/>
            <w:vAlign w:val="center"/>
          </w:tcPr>
          <w:p w14:paraId="1C356125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1.5</w:t>
            </w:r>
          </w:p>
        </w:tc>
        <w:tc>
          <w:tcPr>
            <w:tcW w:w="301" w:type="dxa"/>
            <w:vAlign w:val="center"/>
          </w:tcPr>
          <w:p w14:paraId="46DC8B6D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10</w:t>
            </w:r>
          </w:p>
        </w:tc>
        <w:tc>
          <w:tcPr>
            <w:tcW w:w="956" w:type="dxa"/>
            <w:vAlign w:val="center"/>
          </w:tcPr>
          <w:p w14:paraId="15DDBD46" w14:textId="679EFF83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1.96</w:t>
            </w:r>
            <w:r w:rsidR="00292614" w:rsidRPr="00292614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±</w:t>
            </w: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0.41</w:t>
            </w:r>
          </w:p>
        </w:tc>
      </w:tr>
      <w:tr w:rsidR="003D59A0" w:rsidRPr="00CF1B06" w14:paraId="552EDC0F" w14:textId="77777777" w:rsidTr="003D59A0">
        <w:trPr>
          <w:trHeight w:val="20"/>
        </w:trPr>
        <w:tc>
          <w:tcPr>
            <w:tcW w:w="851" w:type="dxa"/>
            <w:vAlign w:val="center"/>
          </w:tcPr>
          <w:p w14:paraId="4AB1192A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2</w:t>
            </w:r>
          </w:p>
        </w:tc>
        <w:tc>
          <w:tcPr>
            <w:tcW w:w="301" w:type="dxa"/>
            <w:vAlign w:val="center"/>
          </w:tcPr>
          <w:p w14:paraId="071F2C04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1</w:t>
            </w:r>
          </w:p>
        </w:tc>
        <w:tc>
          <w:tcPr>
            <w:tcW w:w="956" w:type="dxa"/>
            <w:vAlign w:val="center"/>
          </w:tcPr>
          <w:p w14:paraId="51E83B11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2.21</w:t>
            </w:r>
          </w:p>
        </w:tc>
      </w:tr>
      <w:tr w:rsidR="003D59A0" w:rsidRPr="00CF1B06" w14:paraId="74D3FEA6" w14:textId="77777777" w:rsidTr="003D59A0">
        <w:trPr>
          <w:trHeight w:val="20"/>
        </w:trPr>
        <w:tc>
          <w:tcPr>
            <w:tcW w:w="851" w:type="dxa"/>
            <w:vAlign w:val="center"/>
          </w:tcPr>
          <w:p w14:paraId="01BCFFF9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2.25</w:t>
            </w:r>
          </w:p>
        </w:tc>
        <w:tc>
          <w:tcPr>
            <w:tcW w:w="301" w:type="dxa"/>
            <w:vAlign w:val="center"/>
          </w:tcPr>
          <w:p w14:paraId="4AB4A2BD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4</w:t>
            </w:r>
          </w:p>
        </w:tc>
        <w:tc>
          <w:tcPr>
            <w:tcW w:w="956" w:type="dxa"/>
            <w:vAlign w:val="center"/>
          </w:tcPr>
          <w:p w14:paraId="0ED3F7BE" w14:textId="798C7A08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2.04</w:t>
            </w:r>
            <w:r w:rsidR="00292614" w:rsidRPr="00292614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±</w:t>
            </w: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0.14</w:t>
            </w:r>
          </w:p>
        </w:tc>
      </w:tr>
      <w:tr w:rsidR="003D59A0" w:rsidRPr="00CF1B06" w14:paraId="61E32D1B" w14:textId="77777777" w:rsidTr="003D59A0">
        <w:trPr>
          <w:trHeight w:val="20"/>
        </w:trPr>
        <w:tc>
          <w:tcPr>
            <w:tcW w:w="851" w:type="dxa"/>
            <w:vAlign w:val="center"/>
          </w:tcPr>
          <w:p w14:paraId="03DD2337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3.25</w:t>
            </w:r>
          </w:p>
        </w:tc>
        <w:tc>
          <w:tcPr>
            <w:tcW w:w="301" w:type="dxa"/>
            <w:vAlign w:val="center"/>
          </w:tcPr>
          <w:p w14:paraId="559CA0AA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1</w:t>
            </w:r>
          </w:p>
        </w:tc>
        <w:tc>
          <w:tcPr>
            <w:tcW w:w="956" w:type="dxa"/>
            <w:vAlign w:val="center"/>
          </w:tcPr>
          <w:p w14:paraId="74CC6F9F" w14:textId="77777777" w:rsidR="003D59A0" w:rsidRPr="00CF1B06" w:rsidRDefault="003D59A0" w:rsidP="003D59A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</w:pPr>
            <w:r w:rsidRPr="00CF1B06">
              <w:rPr>
                <w:rFonts w:ascii="Calibri" w:hAnsi="Calibri" w:cs="Calibri"/>
                <w:color w:val="000000" w:themeColor="text1"/>
                <w:sz w:val="18"/>
                <w:szCs w:val="18"/>
                <w:lang w:val="en-CA"/>
              </w:rPr>
              <w:t>2.62</w:t>
            </w:r>
          </w:p>
        </w:tc>
      </w:tr>
    </w:tbl>
    <w:p w14:paraId="3CC92B0B" w14:textId="77777777" w:rsidR="00F9549C" w:rsidRPr="00CF1B06" w:rsidRDefault="00F9549C" w:rsidP="00690D0B">
      <w:pPr>
        <w:jc w:val="both"/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  <w:lang w:val="en-CA"/>
        </w:rPr>
      </w:pPr>
    </w:p>
    <w:p w14:paraId="42AC7DC0" w14:textId="59D42C32" w:rsidR="004A15EF" w:rsidRPr="00CF1B06" w:rsidRDefault="00F9549C" w:rsidP="00690D0B">
      <w:pPr>
        <w:jc w:val="both"/>
        <w:rPr>
          <w:rFonts w:ascii="Calibri" w:hAnsi="Calibri" w:cs="Calibri"/>
          <w:color w:val="000000" w:themeColor="text1"/>
          <w:sz w:val="20"/>
          <w:szCs w:val="20"/>
          <w:lang w:val="en-CA"/>
        </w:rPr>
      </w:pPr>
      <w:r w:rsidRPr="00CF1B06">
        <w:rPr>
          <w:rFonts w:ascii="Calibri" w:hAnsi="Calibri" w:cs="Calibri"/>
          <w:b/>
          <w:bCs/>
          <w:color w:val="000000" w:themeColor="text1"/>
          <w:sz w:val="20"/>
          <w:szCs w:val="20"/>
          <w:lang w:val="en-CA"/>
        </w:rPr>
        <w:t>Introduction.</w:t>
      </w:r>
      <w:r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Cytochrome P450</w:t>
      </w:r>
      <w:r w:rsidR="00896E5A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</w:t>
      </w:r>
      <w:r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2D6 </w:t>
      </w:r>
      <w:r w:rsidR="00471A78" w:rsidRPr="001E2945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(CYP2D6; </w:t>
      </w:r>
      <w:r w:rsidR="00471A78" w:rsidRPr="001E2945">
        <w:rPr>
          <w:rFonts w:ascii="Calibri" w:hAnsi="Calibri" w:cs="Calibri"/>
          <w:i/>
          <w:iCs/>
          <w:color w:val="000000" w:themeColor="text1"/>
          <w:sz w:val="20"/>
          <w:szCs w:val="20"/>
          <w:lang w:val="en-CA"/>
        </w:rPr>
        <w:t>CYP2D6</w:t>
      </w:r>
      <w:r w:rsidR="00471A78" w:rsidRPr="001E2945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) </w:t>
      </w:r>
      <w:r w:rsidR="00471A78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is </w:t>
      </w:r>
      <w:r w:rsidR="009A1F77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a highly polymorphic drug-metabolizing enzyme</w:t>
      </w:r>
      <w:r w:rsidR="009D098A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also </w:t>
      </w:r>
      <w:r w:rsidR="00604D4A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well known</w:t>
      </w:r>
      <w:r w:rsidR="009D098A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for copy number as well as structural variation</w:t>
      </w:r>
      <w:r w:rsidR="00604D4A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s</w:t>
      </w:r>
      <w:r w:rsidR="00205B54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.</w:t>
      </w:r>
      <w:r w:rsidR="009A1F77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</w:t>
      </w:r>
      <w:r w:rsidR="00205B54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Its </w:t>
      </w:r>
      <w:r w:rsidR="00F05C9C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activity </w:t>
      </w:r>
      <w:r w:rsidR="00B45047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can be predicted by genotyping</w:t>
      </w:r>
      <w:r w:rsidR="00604D4A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but quantifying the effect of copy number</w:t>
      </w:r>
      <w:r w:rsidR="007C0C61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varia</w:t>
      </w:r>
      <w:r w:rsidR="00604D4A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tion</w:t>
      </w:r>
      <w:r w:rsidR="006405A6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(CNV)</w:t>
      </w:r>
      <w:r w:rsidR="00604D4A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</w:t>
      </w:r>
      <w:r w:rsidR="007C0C61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can be </w:t>
      </w:r>
      <w:r w:rsidR="00896E5A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complex, </w:t>
      </w:r>
      <w:r w:rsidR="007C0C61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expensive and time-consuming</w:t>
      </w:r>
      <w:r w:rsidR="00896E5A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, and </w:t>
      </w:r>
      <w:r w:rsidR="00896E5A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applied methods are not standardized</w:t>
      </w:r>
      <w:r w:rsidR="007C0C61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. </w:t>
      </w:r>
      <w:r w:rsidR="00604D4A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However, phenotyping CYP2D6 activity using</w:t>
      </w:r>
      <w:r w:rsidR="00684043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</w:t>
      </w:r>
      <w:r w:rsidR="00604D4A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the diet-derived biomarker of CYP2D6</w:t>
      </w:r>
      <w:r w:rsidR="00684043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</w:t>
      </w:r>
      <w:r w:rsidR="006405A6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activity (</w:t>
      </w:r>
      <w:r w:rsidR="009A1F77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s</w:t>
      </w:r>
      <w:r w:rsidR="006E0B55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olanidine and its metabolite M414</w:t>
      </w:r>
      <w:r w:rsidR="006405A6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)</w:t>
      </w:r>
      <w:r w:rsidR="00604D4A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, </w:t>
      </w:r>
      <w:r w:rsidR="006405A6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when</w:t>
      </w:r>
      <w:r w:rsidR="001C4DB8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used </w:t>
      </w:r>
      <w:r w:rsidR="006E0B55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in combination with </w:t>
      </w:r>
      <w:r w:rsidR="006E0B55" w:rsidRPr="00CF1B06">
        <w:rPr>
          <w:rFonts w:ascii="Calibri" w:hAnsi="Calibri" w:cs="Calibri"/>
          <w:i/>
          <w:iCs/>
          <w:color w:val="000000" w:themeColor="text1"/>
          <w:sz w:val="20"/>
          <w:szCs w:val="20"/>
          <w:lang w:val="en-CA"/>
        </w:rPr>
        <w:t>CYP2D6</w:t>
      </w:r>
      <w:r w:rsidR="006E0B55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genotyping </w:t>
      </w:r>
      <w:r w:rsidR="00604D4A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has the potential to better predict</w:t>
      </w:r>
      <w:r w:rsidR="006E0B55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</w:t>
      </w:r>
      <w:r w:rsidR="006405A6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true </w:t>
      </w:r>
      <w:r w:rsidR="006E0B55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CYP2D6 activity</w:t>
      </w:r>
      <w:r w:rsidR="001C09F5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.</w:t>
      </w:r>
      <w:r w:rsidR="00B039DC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</w:t>
      </w:r>
    </w:p>
    <w:p w14:paraId="196B735C" w14:textId="38BAD549" w:rsidR="004A15EF" w:rsidRPr="00CF1B06" w:rsidRDefault="004A15EF" w:rsidP="004A15EF">
      <w:pPr>
        <w:jc w:val="both"/>
        <w:rPr>
          <w:rFonts w:ascii="Calibri" w:hAnsi="Calibri" w:cs="Calibri"/>
          <w:color w:val="000000" w:themeColor="text1"/>
          <w:sz w:val="20"/>
          <w:szCs w:val="20"/>
          <w:lang w:val="en-CA"/>
        </w:rPr>
      </w:pPr>
      <w:r w:rsidRPr="00CF1B06">
        <w:rPr>
          <w:rFonts w:ascii="Calibri" w:hAnsi="Calibri" w:cs="Calibri"/>
          <w:b/>
          <w:bCs/>
          <w:color w:val="000000" w:themeColor="text1"/>
          <w:sz w:val="20"/>
          <w:szCs w:val="20"/>
          <w:lang w:val="en-CA"/>
        </w:rPr>
        <w:t>Aims</w:t>
      </w:r>
      <w:r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. </w:t>
      </w:r>
      <w:r w:rsidR="00344EE6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We sought to reassess </w:t>
      </w:r>
      <w:r w:rsidR="00344EE6" w:rsidRPr="00CF1B06">
        <w:rPr>
          <w:rFonts w:ascii="Calibri" w:hAnsi="Calibri" w:cs="Calibri"/>
          <w:i/>
          <w:iCs/>
          <w:color w:val="000000" w:themeColor="text1"/>
          <w:sz w:val="20"/>
          <w:szCs w:val="20"/>
          <w:lang w:val="en-CA"/>
        </w:rPr>
        <w:t>CYP2D6</w:t>
      </w:r>
      <w:r w:rsidR="00344EE6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</w:t>
      </w:r>
      <w:r w:rsidR="006405A6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CNV</w:t>
      </w:r>
      <w:r w:rsidR="00344EE6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</w:t>
      </w:r>
      <w:r w:rsidR="00314B6E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in our</w:t>
      </w:r>
      <w:r w:rsidR="00896E5A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</w:t>
      </w:r>
      <w:r w:rsidR="00314B6E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cohort of patients on tamoxifen therapy (N=1,029; Medwid et al</w:t>
      </w:r>
      <w:r w:rsidR="00BB48CE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,</w:t>
      </w:r>
      <w:r w:rsidR="00314B6E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2024) </w:t>
      </w:r>
      <w:r w:rsidR="00344EE6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utilizing additional technologies</w:t>
      </w:r>
      <w:r w:rsidR="00471A78" w:rsidRPr="00471A78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</w:t>
      </w:r>
      <w:r w:rsidR="00471A78" w:rsidRPr="00471A78">
        <w:rPr>
          <w:rFonts w:ascii="Calibri" w:hAnsi="Calibri" w:cs="Calibri"/>
          <w:color w:val="000000" w:themeColor="text1"/>
          <w:sz w:val="20"/>
          <w:szCs w:val="20"/>
          <w:lang w:val="en-CA"/>
        </w:rPr>
        <w:t>including MLPA coupled to observed solanidine metabolite ratios.</w:t>
      </w:r>
    </w:p>
    <w:p w14:paraId="51F2A8F9" w14:textId="3EF440D9" w:rsidR="004A15EF" w:rsidRPr="00CF1B06" w:rsidRDefault="004A15EF" w:rsidP="004A15EF">
      <w:pPr>
        <w:jc w:val="both"/>
        <w:rPr>
          <w:rFonts w:ascii="Calibri" w:hAnsi="Calibri" w:cs="Calibri"/>
          <w:color w:val="000000" w:themeColor="text1"/>
          <w:sz w:val="20"/>
          <w:szCs w:val="20"/>
          <w:lang w:val="en-CA"/>
        </w:rPr>
      </w:pPr>
      <w:r w:rsidRPr="00CF1B06">
        <w:rPr>
          <w:rFonts w:ascii="Calibri" w:hAnsi="Calibri" w:cs="Calibri"/>
          <w:b/>
          <w:bCs/>
          <w:color w:val="000000" w:themeColor="text1"/>
          <w:sz w:val="20"/>
          <w:szCs w:val="20"/>
          <w:lang w:val="en-CA"/>
        </w:rPr>
        <w:t>Methods</w:t>
      </w:r>
      <w:r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. </w:t>
      </w:r>
      <w:r w:rsidR="00896E5A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Previously, metabolizer status and activity score (AS) were determined by TaqMan assays and copy number analysis using amplification ratios. </w:t>
      </w:r>
      <w:r w:rsidR="003E7BA7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For expanded genotyping, we</w:t>
      </w:r>
      <w:r w:rsidR="00C637AC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</w:t>
      </w:r>
      <w:r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employed </w:t>
      </w:r>
      <w:r w:rsidR="00E023CE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T</w:t>
      </w:r>
      <w:r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aqMan </w:t>
      </w:r>
      <w:proofErr w:type="spellStart"/>
      <w:r w:rsidR="00E023CE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Genotyper</w:t>
      </w:r>
      <w:proofErr w:type="spellEnd"/>
      <w:r w:rsidR="00E023CE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</w:t>
      </w:r>
      <w:r w:rsidR="00896E5A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software </w:t>
      </w:r>
      <w:proofErr w:type="spellStart"/>
      <w:r w:rsidR="00E023CE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tracings</w:t>
      </w:r>
      <w:proofErr w:type="spellEnd"/>
      <w:r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and </w:t>
      </w:r>
      <w:r w:rsidR="00265915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MLPA </w:t>
      </w:r>
      <w:r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assays </w:t>
      </w:r>
      <w:r w:rsidR="009E5939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for </w:t>
      </w:r>
      <w:r w:rsidR="004E1A08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those </w:t>
      </w:r>
      <w:r w:rsidR="003861F8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who </w:t>
      </w:r>
      <w:r w:rsidR="004E1A08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harbor</w:t>
      </w:r>
      <w:r w:rsidR="00604D4A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</w:t>
      </w:r>
      <w:r w:rsidRPr="00CF1B06">
        <w:rPr>
          <w:rFonts w:ascii="Calibri" w:hAnsi="Calibri" w:cs="Calibri"/>
          <w:i/>
          <w:iCs/>
          <w:color w:val="000000" w:themeColor="text1"/>
          <w:sz w:val="20"/>
          <w:szCs w:val="20"/>
          <w:lang w:val="en-CA"/>
        </w:rPr>
        <w:t>CYP2D6</w:t>
      </w:r>
      <w:r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*4, *41, and *10 </w:t>
      </w:r>
      <w:r w:rsidR="00604D4A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vari</w:t>
      </w:r>
      <w:r w:rsidR="004E1A08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ants</w:t>
      </w:r>
      <w:r w:rsidR="003861F8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and have increased copy number</w:t>
      </w:r>
      <w:r w:rsidR="004E1A08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</w:t>
      </w:r>
      <w:r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(N=32). </w:t>
      </w:r>
    </w:p>
    <w:p w14:paraId="65494494" w14:textId="361CF220" w:rsidR="004A15EF" w:rsidRPr="00CF1B06" w:rsidRDefault="004A15EF" w:rsidP="004A15EF">
      <w:pPr>
        <w:jc w:val="both"/>
        <w:rPr>
          <w:rFonts w:ascii="Calibri" w:hAnsi="Calibri" w:cs="Calibri"/>
          <w:color w:val="000000" w:themeColor="text1"/>
          <w:sz w:val="20"/>
          <w:szCs w:val="20"/>
          <w:lang w:val="en-CA"/>
        </w:rPr>
      </w:pPr>
      <w:r w:rsidRPr="00CF1B06">
        <w:rPr>
          <w:rFonts w:ascii="Calibri" w:hAnsi="Calibri" w:cs="Calibri"/>
          <w:b/>
          <w:bCs/>
          <w:color w:val="000000" w:themeColor="text1"/>
          <w:sz w:val="20"/>
          <w:szCs w:val="20"/>
          <w:lang w:val="en-CA"/>
        </w:rPr>
        <w:t>Results.</w:t>
      </w:r>
      <w:r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</w:t>
      </w:r>
      <w:r w:rsidR="004E1A08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Expanded testing that included MLPA resulted in revised </w:t>
      </w:r>
      <w:r w:rsidR="004E1A08" w:rsidRPr="00CF1B06">
        <w:rPr>
          <w:rFonts w:ascii="Calibri" w:hAnsi="Calibri" w:cs="Calibri"/>
          <w:i/>
          <w:iCs/>
          <w:color w:val="000000" w:themeColor="text1"/>
          <w:sz w:val="20"/>
          <w:szCs w:val="20"/>
          <w:lang w:val="en-CA"/>
        </w:rPr>
        <w:t>CYP2D6</w:t>
      </w:r>
      <w:r w:rsidR="004E1A08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g</w:t>
      </w:r>
      <w:r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enotypes </w:t>
      </w:r>
      <w:r w:rsidR="004E1A08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in</w:t>
      </w:r>
      <w:r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25 patients</w:t>
      </w:r>
      <w:r w:rsidR="00CA3E32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,</w:t>
      </w:r>
      <w:r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with 24 having their activity score </w:t>
      </w:r>
      <w:r w:rsidR="00EA5716">
        <w:rPr>
          <w:rFonts w:ascii="Calibri" w:hAnsi="Calibri" w:cs="Calibri"/>
          <w:color w:val="000000" w:themeColor="text1"/>
          <w:sz w:val="20"/>
          <w:szCs w:val="20"/>
          <w:lang w:val="en-CA"/>
        </w:rPr>
        <w:t>altered</w:t>
      </w:r>
      <w:r w:rsidR="00431273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(</w:t>
      </w:r>
      <w:r w:rsidR="00960EDA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see table</w:t>
      </w:r>
      <w:r w:rsidR="00431273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)</w:t>
      </w:r>
      <w:r w:rsidR="005E35C8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, </w:t>
      </w:r>
      <w:r w:rsidR="004E1A08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where</w:t>
      </w:r>
      <w:r w:rsidR="005E35C8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</w:t>
      </w:r>
      <w:r w:rsidR="006C1796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14 previous normal metabolizers were recategorized as </w:t>
      </w:r>
      <w:r w:rsidR="00887E50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intermediate (N=13) or ultrarapid (N=1)</w:t>
      </w:r>
      <w:r w:rsidR="00431273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. </w:t>
      </w:r>
      <w:r w:rsidR="003D59A0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Of 11 patients genotyped as *10/*1x2, ten patients were updated to *10x2/*1, and of 12 patients genotyped as *4/*1x2, nine were updated to *1/*4x2. </w:t>
      </w:r>
      <w:r w:rsidR="005E35C8" w:rsidRPr="00CF1B06">
        <w:rPr>
          <w:rFonts w:ascii="Calibri" w:hAnsi="Calibri" w:cs="Calibri"/>
          <w:color w:val="000000" w:themeColor="text1"/>
          <w:sz w:val="20"/>
          <w:szCs w:val="20"/>
        </w:rPr>
        <w:t xml:space="preserve">Expanded </w:t>
      </w:r>
      <w:r w:rsidR="0078020C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genotyp</w:t>
      </w:r>
      <w:r w:rsidR="004E1A08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ing</w:t>
      </w:r>
      <w:r w:rsidR="0078020C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</w:t>
      </w:r>
      <w:r w:rsidR="00C0062D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activity scores better predict </w:t>
      </w:r>
      <w:r w:rsidR="0078020C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M414/</w:t>
      </w:r>
      <w:r w:rsidR="00C0062D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solanidine ratios</w:t>
      </w:r>
      <w:r w:rsidR="00866922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(R</w:t>
      </w:r>
      <w:r w:rsidR="00866922" w:rsidRPr="00CF1B06">
        <w:rPr>
          <w:rFonts w:ascii="Calibri" w:hAnsi="Calibri" w:cs="Calibri"/>
          <w:color w:val="000000" w:themeColor="text1"/>
          <w:sz w:val="20"/>
          <w:szCs w:val="20"/>
          <w:vertAlign w:val="superscript"/>
          <w:lang w:val="en-CA"/>
        </w:rPr>
        <w:t>2</w:t>
      </w:r>
      <w:r w:rsidR="00866922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= 0.37)</w:t>
      </w:r>
      <w:r w:rsidR="006405A6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.</w:t>
      </w:r>
      <w:r w:rsidR="00B27504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</w:t>
      </w:r>
    </w:p>
    <w:p w14:paraId="57494826" w14:textId="50BCCBD4" w:rsidR="006C4E3F" w:rsidRPr="00CF1B06" w:rsidRDefault="004A15EF" w:rsidP="006C4E3F">
      <w:pPr>
        <w:jc w:val="both"/>
        <w:rPr>
          <w:rFonts w:ascii="Calibri" w:hAnsi="Calibri" w:cs="Calibri"/>
          <w:color w:val="000000" w:themeColor="text1"/>
          <w:sz w:val="20"/>
          <w:szCs w:val="20"/>
          <w:lang w:val="en-CA"/>
        </w:rPr>
      </w:pPr>
      <w:r w:rsidRPr="00CF1B06">
        <w:rPr>
          <w:rFonts w:ascii="Calibri" w:hAnsi="Calibri" w:cs="Calibri"/>
          <w:b/>
          <w:bCs/>
          <w:color w:val="000000" w:themeColor="text1"/>
          <w:sz w:val="20"/>
          <w:szCs w:val="20"/>
          <w:lang w:val="en-CA"/>
        </w:rPr>
        <w:t>Discussion.</w:t>
      </w:r>
      <w:r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</w:t>
      </w:r>
      <w:r w:rsidR="004E1A08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Addition of technologies such as MLPA resulted in a more accurate prediction of </w:t>
      </w:r>
      <w:r w:rsidR="0032035D" w:rsidRPr="00CF1B06">
        <w:rPr>
          <w:rFonts w:ascii="Calibri" w:hAnsi="Calibri" w:cs="Calibri"/>
          <w:i/>
          <w:iCs/>
          <w:color w:val="000000" w:themeColor="text1"/>
          <w:sz w:val="20"/>
          <w:szCs w:val="20"/>
          <w:lang w:val="en-CA"/>
        </w:rPr>
        <w:t>CYP2D6</w:t>
      </w:r>
      <w:r w:rsidR="0032035D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copy number</w:t>
      </w:r>
      <w:r w:rsidR="004E1A08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</w:t>
      </w:r>
      <w:r w:rsidR="006405A6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particularly when</w:t>
      </w:r>
      <w:r w:rsidR="004E1A08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coupled to</w:t>
      </w:r>
      <w:r w:rsidR="006A5AFF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 </w:t>
      </w:r>
      <w:r w:rsidR="00525966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solanidine metabolism as a </w:t>
      </w:r>
      <w:r w:rsidR="004E1A08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circulating </w:t>
      </w:r>
      <w:r w:rsidR="00525966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>biomarker of CYP2D6 activity</w:t>
      </w:r>
      <w:r w:rsidR="00873EFA" w:rsidRPr="00CF1B06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. </w:t>
      </w:r>
    </w:p>
    <w:p w14:paraId="0CB4CE50" w14:textId="77777777" w:rsidR="00887E50" w:rsidRPr="00CF1B06" w:rsidRDefault="00887E50" w:rsidP="006C4E3F">
      <w:pPr>
        <w:jc w:val="both"/>
        <w:rPr>
          <w:rFonts w:ascii="Calibri" w:hAnsi="Calibri" w:cs="Calibri"/>
          <w:color w:val="000000" w:themeColor="text1"/>
          <w:sz w:val="20"/>
          <w:szCs w:val="20"/>
          <w:lang w:val="en-CA"/>
        </w:rPr>
      </w:pPr>
    </w:p>
    <w:p w14:paraId="27DD70DE" w14:textId="753FCB30" w:rsidR="00896E5A" w:rsidRPr="002F2529" w:rsidRDefault="006C4E3F">
      <w:pPr>
        <w:jc w:val="both"/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  <w:lang w:val="en-CA"/>
        </w:rPr>
      </w:pPr>
      <w:r w:rsidRPr="002F2529">
        <w:rPr>
          <w:rFonts w:ascii="Calibri" w:hAnsi="Calibri" w:cs="Calibri"/>
          <w:color w:val="000000" w:themeColor="text1"/>
          <w:sz w:val="20"/>
          <w:szCs w:val="20"/>
          <w:lang w:val="en-CA"/>
        </w:rPr>
        <w:t xml:space="preserve">Medwid et al (2024) </w:t>
      </w:r>
      <w:r w:rsidRPr="002F2529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  <w:lang w:val="en-CA"/>
        </w:rPr>
        <w:t>Clin Pharmacol Ther 116:1269-1277</w:t>
      </w:r>
    </w:p>
    <w:sectPr w:rsidR="00896E5A" w:rsidRPr="002F2529" w:rsidSect="00CA3E32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40737"/>
    <w:multiLevelType w:val="hybridMultilevel"/>
    <w:tmpl w:val="9FF4EDB2"/>
    <w:lvl w:ilvl="0" w:tplc="D3E6BF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55D3E"/>
    <w:multiLevelType w:val="hybridMultilevel"/>
    <w:tmpl w:val="D0E09A80"/>
    <w:lvl w:ilvl="0" w:tplc="BC2423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131504">
    <w:abstractNumId w:val="0"/>
  </w:num>
  <w:num w:numId="2" w16cid:durableId="1401828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296E"/>
    <w:rsid w:val="00014DF0"/>
    <w:rsid w:val="00016731"/>
    <w:rsid w:val="00054F96"/>
    <w:rsid w:val="00060F6F"/>
    <w:rsid w:val="000730A4"/>
    <w:rsid w:val="00074B07"/>
    <w:rsid w:val="000807E1"/>
    <w:rsid w:val="00090E7D"/>
    <w:rsid w:val="000A124B"/>
    <w:rsid w:val="000A4FA6"/>
    <w:rsid w:val="000A71C7"/>
    <w:rsid w:val="000D05C7"/>
    <w:rsid w:val="000D4530"/>
    <w:rsid w:val="001363FA"/>
    <w:rsid w:val="00152C81"/>
    <w:rsid w:val="00164838"/>
    <w:rsid w:val="0018265A"/>
    <w:rsid w:val="001C09F5"/>
    <w:rsid w:val="001C4DB8"/>
    <w:rsid w:val="001E2945"/>
    <w:rsid w:val="001E40C3"/>
    <w:rsid w:val="001F2889"/>
    <w:rsid w:val="001F7D56"/>
    <w:rsid w:val="00201B6C"/>
    <w:rsid w:val="00205B54"/>
    <w:rsid w:val="002075E9"/>
    <w:rsid w:val="00213C11"/>
    <w:rsid w:val="002226BB"/>
    <w:rsid w:val="00223251"/>
    <w:rsid w:val="002272B0"/>
    <w:rsid w:val="00227619"/>
    <w:rsid w:val="00236F0A"/>
    <w:rsid w:val="00265915"/>
    <w:rsid w:val="00292614"/>
    <w:rsid w:val="00295CB0"/>
    <w:rsid w:val="002B3A95"/>
    <w:rsid w:val="002B5418"/>
    <w:rsid w:val="002C0CDD"/>
    <w:rsid w:val="002C1673"/>
    <w:rsid w:val="002D0110"/>
    <w:rsid w:val="002D0DD9"/>
    <w:rsid w:val="002F2529"/>
    <w:rsid w:val="002F7ECC"/>
    <w:rsid w:val="00300B92"/>
    <w:rsid w:val="00314B6E"/>
    <w:rsid w:val="003162BF"/>
    <w:rsid w:val="0032035D"/>
    <w:rsid w:val="003238D9"/>
    <w:rsid w:val="00332B1E"/>
    <w:rsid w:val="00332C35"/>
    <w:rsid w:val="00344EE6"/>
    <w:rsid w:val="0036512E"/>
    <w:rsid w:val="003727C4"/>
    <w:rsid w:val="0038617A"/>
    <w:rsid w:val="003861F8"/>
    <w:rsid w:val="00387491"/>
    <w:rsid w:val="003A0AA8"/>
    <w:rsid w:val="003C7D3A"/>
    <w:rsid w:val="003D281F"/>
    <w:rsid w:val="003D59A0"/>
    <w:rsid w:val="003E7BA7"/>
    <w:rsid w:val="003F1A90"/>
    <w:rsid w:val="00407274"/>
    <w:rsid w:val="00410CA4"/>
    <w:rsid w:val="00431222"/>
    <w:rsid w:val="00431273"/>
    <w:rsid w:val="00444224"/>
    <w:rsid w:val="0044629A"/>
    <w:rsid w:val="00454DDD"/>
    <w:rsid w:val="00470D26"/>
    <w:rsid w:val="00471A78"/>
    <w:rsid w:val="00483B05"/>
    <w:rsid w:val="00484AD8"/>
    <w:rsid w:val="0049047F"/>
    <w:rsid w:val="004A15EF"/>
    <w:rsid w:val="004B0164"/>
    <w:rsid w:val="004B0423"/>
    <w:rsid w:val="004C3A92"/>
    <w:rsid w:val="004C5341"/>
    <w:rsid w:val="004E1A08"/>
    <w:rsid w:val="004E28B9"/>
    <w:rsid w:val="004E50FC"/>
    <w:rsid w:val="004E5450"/>
    <w:rsid w:val="004E6296"/>
    <w:rsid w:val="00506BB0"/>
    <w:rsid w:val="00525966"/>
    <w:rsid w:val="00560F62"/>
    <w:rsid w:val="00572E28"/>
    <w:rsid w:val="005806E4"/>
    <w:rsid w:val="0059565F"/>
    <w:rsid w:val="0059609A"/>
    <w:rsid w:val="00597659"/>
    <w:rsid w:val="005A4C7C"/>
    <w:rsid w:val="005A68F8"/>
    <w:rsid w:val="005C2923"/>
    <w:rsid w:val="005C2E49"/>
    <w:rsid w:val="005D1700"/>
    <w:rsid w:val="005D1834"/>
    <w:rsid w:val="005E35C8"/>
    <w:rsid w:val="005E3B85"/>
    <w:rsid w:val="005E48A2"/>
    <w:rsid w:val="005E62BE"/>
    <w:rsid w:val="005F7E5D"/>
    <w:rsid w:val="00604D4A"/>
    <w:rsid w:val="00613F96"/>
    <w:rsid w:val="00622E5A"/>
    <w:rsid w:val="006278F9"/>
    <w:rsid w:val="0063705D"/>
    <w:rsid w:val="006405A6"/>
    <w:rsid w:val="006600F7"/>
    <w:rsid w:val="0067518E"/>
    <w:rsid w:val="00684043"/>
    <w:rsid w:val="00684849"/>
    <w:rsid w:val="006878D8"/>
    <w:rsid w:val="00690D0B"/>
    <w:rsid w:val="0069130D"/>
    <w:rsid w:val="006A5AFF"/>
    <w:rsid w:val="006A6F06"/>
    <w:rsid w:val="006C1796"/>
    <w:rsid w:val="006C4E3F"/>
    <w:rsid w:val="006D5703"/>
    <w:rsid w:val="006E0B55"/>
    <w:rsid w:val="006E5D4D"/>
    <w:rsid w:val="006F3B3E"/>
    <w:rsid w:val="00707F98"/>
    <w:rsid w:val="00711813"/>
    <w:rsid w:val="00717515"/>
    <w:rsid w:val="007237A0"/>
    <w:rsid w:val="00724E3C"/>
    <w:rsid w:val="00743139"/>
    <w:rsid w:val="00743C46"/>
    <w:rsid w:val="0075630B"/>
    <w:rsid w:val="00760B17"/>
    <w:rsid w:val="00771F52"/>
    <w:rsid w:val="0077212D"/>
    <w:rsid w:val="0078020C"/>
    <w:rsid w:val="00783E6E"/>
    <w:rsid w:val="007860B7"/>
    <w:rsid w:val="00793ED0"/>
    <w:rsid w:val="007A58DB"/>
    <w:rsid w:val="007C0C61"/>
    <w:rsid w:val="007D45CE"/>
    <w:rsid w:val="007E1303"/>
    <w:rsid w:val="007F2125"/>
    <w:rsid w:val="007F241D"/>
    <w:rsid w:val="00810357"/>
    <w:rsid w:val="008111AD"/>
    <w:rsid w:val="00823E29"/>
    <w:rsid w:val="0082694F"/>
    <w:rsid w:val="008347F9"/>
    <w:rsid w:val="00843335"/>
    <w:rsid w:val="0084567E"/>
    <w:rsid w:val="00847CF9"/>
    <w:rsid w:val="00861C6A"/>
    <w:rsid w:val="00861DED"/>
    <w:rsid w:val="00864201"/>
    <w:rsid w:val="00866922"/>
    <w:rsid w:val="00873EFA"/>
    <w:rsid w:val="008742AB"/>
    <w:rsid w:val="00876432"/>
    <w:rsid w:val="00881E4E"/>
    <w:rsid w:val="008824C3"/>
    <w:rsid w:val="00885303"/>
    <w:rsid w:val="00887E50"/>
    <w:rsid w:val="008909C9"/>
    <w:rsid w:val="00895EBF"/>
    <w:rsid w:val="008963BF"/>
    <w:rsid w:val="00896E5A"/>
    <w:rsid w:val="008A3D35"/>
    <w:rsid w:val="008D49F7"/>
    <w:rsid w:val="008D57F8"/>
    <w:rsid w:val="008D602E"/>
    <w:rsid w:val="008E1963"/>
    <w:rsid w:val="008E5E5A"/>
    <w:rsid w:val="00907D2D"/>
    <w:rsid w:val="00910C8C"/>
    <w:rsid w:val="00917854"/>
    <w:rsid w:val="00936865"/>
    <w:rsid w:val="00947B77"/>
    <w:rsid w:val="00955CFC"/>
    <w:rsid w:val="00960EDA"/>
    <w:rsid w:val="00986159"/>
    <w:rsid w:val="009A1F77"/>
    <w:rsid w:val="009A27CC"/>
    <w:rsid w:val="009B2B53"/>
    <w:rsid w:val="009C28C9"/>
    <w:rsid w:val="009D098A"/>
    <w:rsid w:val="009D4CAA"/>
    <w:rsid w:val="009E2228"/>
    <w:rsid w:val="009E5939"/>
    <w:rsid w:val="009F06D6"/>
    <w:rsid w:val="00A13479"/>
    <w:rsid w:val="00A20870"/>
    <w:rsid w:val="00A266B4"/>
    <w:rsid w:val="00A34AB2"/>
    <w:rsid w:val="00A41B7C"/>
    <w:rsid w:val="00A71DEF"/>
    <w:rsid w:val="00A95696"/>
    <w:rsid w:val="00AA5D83"/>
    <w:rsid w:val="00AA6BF7"/>
    <w:rsid w:val="00AB0DD1"/>
    <w:rsid w:val="00AC3E1A"/>
    <w:rsid w:val="00AE2DA6"/>
    <w:rsid w:val="00AE78D0"/>
    <w:rsid w:val="00B00BDC"/>
    <w:rsid w:val="00B02D84"/>
    <w:rsid w:val="00B039DC"/>
    <w:rsid w:val="00B1096F"/>
    <w:rsid w:val="00B27504"/>
    <w:rsid w:val="00B41A26"/>
    <w:rsid w:val="00B41A9A"/>
    <w:rsid w:val="00B45047"/>
    <w:rsid w:val="00B52046"/>
    <w:rsid w:val="00B90AE8"/>
    <w:rsid w:val="00B95C40"/>
    <w:rsid w:val="00B967FD"/>
    <w:rsid w:val="00BA1846"/>
    <w:rsid w:val="00BA692B"/>
    <w:rsid w:val="00BB4470"/>
    <w:rsid w:val="00BB48CE"/>
    <w:rsid w:val="00BC5FCC"/>
    <w:rsid w:val="00BC7630"/>
    <w:rsid w:val="00BD09BF"/>
    <w:rsid w:val="00BD620B"/>
    <w:rsid w:val="00BE0DCB"/>
    <w:rsid w:val="00C0062D"/>
    <w:rsid w:val="00C05438"/>
    <w:rsid w:val="00C132EC"/>
    <w:rsid w:val="00C1395E"/>
    <w:rsid w:val="00C22957"/>
    <w:rsid w:val="00C366DF"/>
    <w:rsid w:val="00C37FB9"/>
    <w:rsid w:val="00C47D49"/>
    <w:rsid w:val="00C60A71"/>
    <w:rsid w:val="00C637AC"/>
    <w:rsid w:val="00C63915"/>
    <w:rsid w:val="00C71272"/>
    <w:rsid w:val="00C77077"/>
    <w:rsid w:val="00C85E05"/>
    <w:rsid w:val="00C8728A"/>
    <w:rsid w:val="00CA15DD"/>
    <w:rsid w:val="00CA3E32"/>
    <w:rsid w:val="00CD0FED"/>
    <w:rsid w:val="00CE20C1"/>
    <w:rsid w:val="00CE4FB2"/>
    <w:rsid w:val="00CF1B06"/>
    <w:rsid w:val="00D55F3B"/>
    <w:rsid w:val="00D56BC2"/>
    <w:rsid w:val="00DA2731"/>
    <w:rsid w:val="00DB0999"/>
    <w:rsid w:val="00DD5C0F"/>
    <w:rsid w:val="00DD6908"/>
    <w:rsid w:val="00DE4B27"/>
    <w:rsid w:val="00E023CE"/>
    <w:rsid w:val="00E043D6"/>
    <w:rsid w:val="00E249EA"/>
    <w:rsid w:val="00E352DB"/>
    <w:rsid w:val="00E56042"/>
    <w:rsid w:val="00E820B1"/>
    <w:rsid w:val="00E8495E"/>
    <w:rsid w:val="00E86B30"/>
    <w:rsid w:val="00EA5716"/>
    <w:rsid w:val="00EC5258"/>
    <w:rsid w:val="00ED3C95"/>
    <w:rsid w:val="00EF0EA4"/>
    <w:rsid w:val="00EF12F3"/>
    <w:rsid w:val="00F01098"/>
    <w:rsid w:val="00F02477"/>
    <w:rsid w:val="00F031BA"/>
    <w:rsid w:val="00F05C9C"/>
    <w:rsid w:val="00F11114"/>
    <w:rsid w:val="00F2409C"/>
    <w:rsid w:val="00F3301F"/>
    <w:rsid w:val="00F33DE1"/>
    <w:rsid w:val="00F34F05"/>
    <w:rsid w:val="00F427B5"/>
    <w:rsid w:val="00F75E3D"/>
    <w:rsid w:val="00F80833"/>
    <w:rsid w:val="00F86853"/>
    <w:rsid w:val="00F90F73"/>
    <w:rsid w:val="00F91CDF"/>
    <w:rsid w:val="00F9549C"/>
    <w:rsid w:val="00F95506"/>
    <w:rsid w:val="00F97620"/>
    <w:rsid w:val="00FA4960"/>
    <w:rsid w:val="00FA7B16"/>
    <w:rsid w:val="00FB0C04"/>
    <w:rsid w:val="00FB31BD"/>
    <w:rsid w:val="00FB527B"/>
    <w:rsid w:val="00FB539A"/>
    <w:rsid w:val="00FD06DB"/>
    <w:rsid w:val="00FD12E7"/>
    <w:rsid w:val="00FD7D6F"/>
    <w:rsid w:val="00FE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95D12A"/>
  <w15:chartTrackingRefBased/>
  <w15:docId w15:val="{E2150B9B-54C9-C244-B73A-A1AB0FE2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967FD"/>
    <w:pPr>
      <w:spacing w:before="100" w:beforeAutospacing="1" w:after="100" w:afterAutospacing="1"/>
    </w:pPr>
    <w:rPr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5A68F8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B02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3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2416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Kaylee Glavin</cp:lastModifiedBy>
  <cp:revision>8</cp:revision>
  <cp:lastPrinted>2013-06-13T19:15:00Z</cp:lastPrinted>
  <dcterms:created xsi:type="dcterms:W3CDTF">2025-09-14T00:13:00Z</dcterms:created>
  <dcterms:modified xsi:type="dcterms:W3CDTF">2025-09-14T00:29:00Z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