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21AAA" w14:textId="3461CC84" w:rsidR="00392984" w:rsidRPr="0028054F" w:rsidRDefault="0062634B" w:rsidP="00465BF2">
      <w:pPr>
        <w:rPr>
          <w:rFonts w:ascii="Arial" w:hAnsi="Arial" w:cs="Arial"/>
          <w:b/>
          <w:color w:val="081B3A"/>
          <w:spacing w:val="3"/>
          <w:sz w:val="24"/>
          <w:szCs w:val="24"/>
          <w:shd w:val="clear" w:color="auto" w:fill="FFFFFF"/>
        </w:rPr>
      </w:pPr>
      <w:r w:rsidRPr="0028054F">
        <w:rPr>
          <w:rFonts w:ascii="Arial" w:hAnsi="Arial" w:cs="Arial"/>
          <w:b/>
          <w:color w:val="081B3A"/>
          <w:spacing w:val="3"/>
          <w:sz w:val="24"/>
          <w:szCs w:val="24"/>
          <w:shd w:val="clear" w:color="auto" w:fill="FFFFFF"/>
        </w:rPr>
        <w:t xml:space="preserve">Generation </w:t>
      </w:r>
      <w:r w:rsidR="00465BF2">
        <w:rPr>
          <w:rFonts w:ascii="Arial" w:hAnsi="Arial" w:cs="Arial"/>
          <w:b/>
          <w:color w:val="081B3A"/>
          <w:spacing w:val="3"/>
          <w:sz w:val="24"/>
          <w:szCs w:val="24"/>
          <w:shd w:val="clear" w:color="auto" w:fill="FFFFFF"/>
        </w:rPr>
        <w:t>O</w:t>
      </w:r>
      <w:r w:rsidRPr="0028054F">
        <w:rPr>
          <w:rFonts w:ascii="Arial" w:hAnsi="Arial" w:cs="Arial"/>
          <w:b/>
          <w:color w:val="081B3A"/>
          <w:spacing w:val="3"/>
          <w:sz w:val="24"/>
          <w:szCs w:val="24"/>
          <w:shd w:val="clear" w:color="auto" w:fill="FFFFFF"/>
        </w:rPr>
        <w:t xml:space="preserve">f </w:t>
      </w:r>
      <w:r w:rsidR="00465BF2">
        <w:rPr>
          <w:rFonts w:ascii="Arial" w:hAnsi="Arial" w:cs="Arial"/>
          <w:b/>
          <w:color w:val="081B3A"/>
          <w:spacing w:val="3"/>
          <w:sz w:val="24"/>
          <w:szCs w:val="24"/>
          <w:shd w:val="clear" w:color="auto" w:fill="FFFFFF"/>
        </w:rPr>
        <w:t>T</w:t>
      </w:r>
      <w:r w:rsidRPr="0028054F">
        <w:rPr>
          <w:rFonts w:ascii="Arial" w:hAnsi="Arial" w:cs="Arial"/>
          <w:b/>
          <w:color w:val="081B3A"/>
          <w:spacing w:val="3"/>
          <w:sz w:val="24"/>
          <w:szCs w:val="24"/>
          <w:shd w:val="clear" w:color="auto" w:fill="FFFFFF"/>
        </w:rPr>
        <w:t xml:space="preserve">herapeutic </w:t>
      </w:r>
      <w:r w:rsidR="00465BF2">
        <w:rPr>
          <w:rFonts w:ascii="Arial" w:hAnsi="Arial" w:cs="Arial"/>
          <w:b/>
          <w:color w:val="081B3A"/>
          <w:spacing w:val="3"/>
          <w:sz w:val="24"/>
          <w:szCs w:val="24"/>
          <w:shd w:val="clear" w:color="auto" w:fill="FFFFFF"/>
        </w:rPr>
        <w:t>A</w:t>
      </w:r>
      <w:r w:rsidRPr="0028054F">
        <w:rPr>
          <w:rFonts w:ascii="Arial" w:hAnsi="Arial" w:cs="Arial"/>
          <w:b/>
          <w:color w:val="081B3A"/>
          <w:spacing w:val="3"/>
          <w:sz w:val="24"/>
          <w:szCs w:val="24"/>
          <w:shd w:val="clear" w:color="auto" w:fill="FFFFFF"/>
        </w:rPr>
        <w:t xml:space="preserve">nd </w:t>
      </w:r>
      <w:r w:rsidR="00465BF2">
        <w:rPr>
          <w:rFonts w:ascii="Arial" w:hAnsi="Arial" w:cs="Arial"/>
          <w:b/>
          <w:color w:val="081B3A"/>
          <w:spacing w:val="3"/>
          <w:sz w:val="24"/>
          <w:szCs w:val="24"/>
          <w:shd w:val="clear" w:color="auto" w:fill="FFFFFF"/>
        </w:rPr>
        <w:t>D</w:t>
      </w:r>
      <w:r w:rsidRPr="0028054F">
        <w:rPr>
          <w:rFonts w:ascii="Arial" w:hAnsi="Arial" w:cs="Arial"/>
          <w:b/>
          <w:color w:val="081B3A"/>
          <w:spacing w:val="3"/>
          <w:sz w:val="24"/>
          <w:szCs w:val="24"/>
          <w:shd w:val="clear" w:color="auto" w:fill="FFFFFF"/>
        </w:rPr>
        <w:t xml:space="preserve">iagnostic </w:t>
      </w:r>
      <w:r w:rsidR="00465BF2">
        <w:rPr>
          <w:rFonts w:ascii="Arial" w:hAnsi="Arial" w:cs="Arial"/>
          <w:b/>
          <w:color w:val="081B3A"/>
          <w:spacing w:val="3"/>
          <w:sz w:val="24"/>
          <w:szCs w:val="24"/>
          <w:shd w:val="clear" w:color="auto" w:fill="FFFFFF"/>
        </w:rPr>
        <w:t>R</w:t>
      </w:r>
      <w:r w:rsidRPr="0028054F">
        <w:rPr>
          <w:rFonts w:ascii="Arial" w:hAnsi="Arial" w:cs="Arial"/>
          <w:b/>
          <w:color w:val="081B3A"/>
          <w:spacing w:val="3"/>
          <w:sz w:val="24"/>
          <w:szCs w:val="24"/>
          <w:shd w:val="clear" w:color="auto" w:fill="FFFFFF"/>
        </w:rPr>
        <w:t xml:space="preserve">ecombinant </w:t>
      </w:r>
      <w:r w:rsidR="00465BF2">
        <w:rPr>
          <w:rFonts w:ascii="Arial" w:hAnsi="Arial" w:cs="Arial"/>
          <w:b/>
          <w:color w:val="081B3A"/>
          <w:spacing w:val="3"/>
          <w:sz w:val="24"/>
          <w:szCs w:val="24"/>
          <w:shd w:val="clear" w:color="auto" w:fill="FFFFFF"/>
        </w:rPr>
        <w:t>P</w:t>
      </w:r>
      <w:r w:rsidRPr="0028054F">
        <w:rPr>
          <w:rFonts w:ascii="Arial" w:hAnsi="Arial" w:cs="Arial"/>
          <w:b/>
          <w:color w:val="081B3A"/>
          <w:spacing w:val="3"/>
          <w:sz w:val="24"/>
          <w:szCs w:val="24"/>
          <w:shd w:val="clear" w:color="auto" w:fill="FFFFFF"/>
        </w:rPr>
        <w:t xml:space="preserve">roteins </w:t>
      </w:r>
      <w:r w:rsidR="00465BF2">
        <w:rPr>
          <w:rFonts w:ascii="Arial" w:hAnsi="Arial" w:cs="Arial"/>
          <w:b/>
          <w:color w:val="081B3A"/>
          <w:spacing w:val="3"/>
          <w:sz w:val="24"/>
          <w:szCs w:val="24"/>
          <w:shd w:val="clear" w:color="auto" w:fill="FFFFFF"/>
        </w:rPr>
        <w:t>I</w:t>
      </w:r>
      <w:r w:rsidRPr="0028054F">
        <w:rPr>
          <w:rFonts w:ascii="Arial" w:hAnsi="Arial" w:cs="Arial"/>
          <w:b/>
          <w:color w:val="081B3A"/>
          <w:spacing w:val="3"/>
          <w:sz w:val="24"/>
          <w:szCs w:val="24"/>
          <w:shd w:val="clear" w:color="auto" w:fill="FFFFFF"/>
        </w:rPr>
        <w:t xml:space="preserve">n </w:t>
      </w:r>
      <w:r w:rsidR="00465BF2">
        <w:rPr>
          <w:rFonts w:ascii="Arial" w:hAnsi="Arial" w:cs="Arial"/>
          <w:b/>
          <w:color w:val="081B3A"/>
          <w:spacing w:val="3"/>
          <w:sz w:val="24"/>
          <w:szCs w:val="24"/>
          <w:shd w:val="clear" w:color="auto" w:fill="FFFFFF"/>
        </w:rPr>
        <w:t>T</w:t>
      </w:r>
      <w:r w:rsidRPr="0028054F">
        <w:rPr>
          <w:rFonts w:ascii="Arial" w:hAnsi="Arial" w:cs="Arial"/>
          <w:b/>
          <w:color w:val="081B3A"/>
          <w:spacing w:val="3"/>
          <w:sz w:val="24"/>
          <w:szCs w:val="24"/>
          <w:shd w:val="clear" w:color="auto" w:fill="FFFFFF"/>
        </w:rPr>
        <w:t xml:space="preserve">he </w:t>
      </w:r>
      <w:r w:rsidR="00465BF2">
        <w:rPr>
          <w:rFonts w:ascii="Arial" w:hAnsi="Arial" w:cs="Arial"/>
          <w:b/>
          <w:color w:val="081B3A"/>
          <w:spacing w:val="3"/>
          <w:sz w:val="24"/>
          <w:szCs w:val="24"/>
          <w:shd w:val="clear" w:color="auto" w:fill="FFFFFF"/>
        </w:rPr>
        <w:t>P</w:t>
      </w:r>
      <w:r w:rsidR="00A4442B" w:rsidRPr="0028054F">
        <w:rPr>
          <w:rFonts w:ascii="Arial" w:hAnsi="Arial" w:cs="Arial"/>
          <w:b/>
          <w:color w:val="081B3A"/>
          <w:spacing w:val="3"/>
          <w:sz w:val="24"/>
          <w:szCs w:val="24"/>
          <w:shd w:val="clear" w:color="auto" w:fill="FFFFFF"/>
        </w:rPr>
        <w:t>eriplasm</w:t>
      </w:r>
      <w:r w:rsidRPr="0028054F">
        <w:rPr>
          <w:rFonts w:ascii="Arial" w:hAnsi="Arial" w:cs="Arial"/>
          <w:b/>
          <w:color w:val="081B3A"/>
          <w:spacing w:val="3"/>
          <w:sz w:val="24"/>
          <w:szCs w:val="24"/>
          <w:shd w:val="clear" w:color="auto" w:fill="FFFFFF"/>
        </w:rPr>
        <w:t xml:space="preserve"> </w:t>
      </w:r>
      <w:r w:rsidR="00465BF2">
        <w:rPr>
          <w:rFonts w:ascii="Arial" w:hAnsi="Arial" w:cs="Arial"/>
          <w:b/>
          <w:color w:val="081B3A"/>
          <w:spacing w:val="3"/>
          <w:sz w:val="24"/>
          <w:szCs w:val="24"/>
          <w:shd w:val="clear" w:color="auto" w:fill="FFFFFF"/>
        </w:rPr>
        <w:t>O</w:t>
      </w:r>
      <w:r w:rsidRPr="0028054F">
        <w:rPr>
          <w:rFonts w:ascii="Arial" w:hAnsi="Arial" w:cs="Arial"/>
          <w:b/>
          <w:color w:val="081B3A"/>
          <w:spacing w:val="3"/>
          <w:sz w:val="24"/>
          <w:szCs w:val="24"/>
          <w:shd w:val="clear" w:color="auto" w:fill="FFFFFF"/>
        </w:rPr>
        <w:t>f</w:t>
      </w:r>
      <w:r w:rsidR="00392984" w:rsidRPr="0028054F">
        <w:rPr>
          <w:rFonts w:ascii="Arial" w:hAnsi="Arial" w:cs="Arial"/>
          <w:b/>
          <w:sz w:val="24"/>
          <w:szCs w:val="24"/>
        </w:rPr>
        <w:t xml:space="preserve"> </w:t>
      </w:r>
      <w:r w:rsidR="00392984" w:rsidRPr="0028054F">
        <w:rPr>
          <w:rFonts w:ascii="Arial" w:hAnsi="Arial" w:cs="Arial"/>
          <w:b/>
          <w:i/>
          <w:sz w:val="24"/>
          <w:szCs w:val="24"/>
        </w:rPr>
        <w:t>Escherichia coli</w:t>
      </w:r>
      <w:r w:rsidR="00392984" w:rsidRPr="0028054F">
        <w:rPr>
          <w:rFonts w:ascii="Arial" w:hAnsi="Arial" w:cs="Arial"/>
          <w:b/>
          <w:sz w:val="24"/>
          <w:szCs w:val="24"/>
        </w:rPr>
        <w:t xml:space="preserve"> W3110 ΔompC</w:t>
      </w:r>
    </w:p>
    <w:p w14:paraId="5835F0E7" w14:textId="04EF96D0" w:rsidR="0028054F" w:rsidRPr="00155E0B" w:rsidRDefault="0028054F" w:rsidP="0028054F">
      <w:pPr>
        <w:spacing w:after="0" w:line="240" w:lineRule="auto"/>
        <w:rPr>
          <w:rFonts w:ascii="Arial" w:eastAsia="Calibri" w:hAnsi="Arial" w:cs="Arial"/>
          <w:bCs/>
          <w:sz w:val="20"/>
          <w:szCs w:val="20"/>
        </w:rPr>
      </w:pPr>
      <w:r w:rsidRPr="00155E0B">
        <w:rPr>
          <w:rFonts w:ascii="Arial" w:eastAsia="Calibri" w:hAnsi="Arial" w:cs="Arial"/>
          <w:b/>
          <w:sz w:val="20"/>
          <w:szCs w:val="20"/>
          <w:u w:val="single"/>
        </w:rPr>
        <w:t>Dung Pham-Thi-Ngoc</w:t>
      </w:r>
      <w:r w:rsidRPr="00155E0B">
        <w:rPr>
          <w:rFonts w:ascii="Arial" w:eastAsia="Calibri" w:hAnsi="Arial" w:cs="Arial"/>
          <w:bCs/>
          <w:sz w:val="20"/>
          <w:szCs w:val="20"/>
          <w:vertAlign w:val="superscript"/>
        </w:rPr>
        <w:t>1</w:t>
      </w:r>
      <w:r w:rsidRPr="00155E0B">
        <w:rPr>
          <w:rFonts w:ascii="Arial" w:eastAsia="Calibri" w:hAnsi="Arial" w:cs="Arial"/>
          <w:bCs/>
          <w:sz w:val="20"/>
          <w:szCs w:val="20"/>
        </w:rPr>
        <w:t>, Duy Tran-Nguyen-Thai</w:t>
      </w:r>
      <w:r w:rsidRPr="00155E0B">
        <w:rPr>
          <w:rFonts w:ascii="Arial" w:eastAsia="Calibri" w:hAnsi="Arial" w:cs="Arial"/>
          <w:bCs/>
          <w:sz w:val="20"/>
          <w:szCs w:val="20"/>
          <w:vertAlign w:val="superscript"/>
        </w:rPr>
        <w:t>1</w:t>
      </w:r>
      <w:r w:rsidRPr="00155E0B">
        <w:rPr>
          <w:rFonts w:ascii="Arial" w:eastAsia="Calibri" w:hAnsi="Arial" w:cs="Arial"/>
          <w:bCs/>
          <w:sz w:val="20"/>
          <w:szCs w:val="20"/>
        </w:rPr>
        <w:t>, Huy Nguyen-Thanh</w:t>
      </w:r>
      <w:r w:rsidRPr="00155E0B">
        <w:rPr>
          <w:rFonts w:ascii="Arial" w:eastAsia="Calibri" w:hAnsi="Arial" w:cs="Arial"/>
          <w:bCs/>
          <w:sz w:val="20"/>
          <w:szCs w:val="20"/>
          <w:vertAlign w:val="superscript"/>
        </w:rPr>
        <w:t>1</w:t>
      </w:r>
      <w:r w:rsidRPr="00155E0B">
        <w:rPr>
          <w:rFonts w:ascii="Arial" w:eastAsia="Calibri" w:hAnsi="Arial" w:cs="Arial"/>
          <w:bCs/>
          <w:sz w:val="20"/>
          <w:szCs w:val="20"/>
        </w:rPr>
        <w:t xml:space="preserve">, </w:t>
      </w:r>
      <w:r w:rsidR="00E132A4">
        <w:rPr>
          <w:rFonts w:ascii="Arial" w:eastAsia="Calibri" w:hAnsi="Arial" w:cs="Arial"/>
          <w:bCs/>
          <w:sz w:val="20"/>
          <w:szCs w:val="20"/>
        </w:rPr>
        <w:t>Huong Nguyen-Xuan</w:t>
      </w:r>
      <w:r w:rsidR="00E132A4" w:rsidRPr="00155E0B">
        <w:rPr>
          <w:rFonts w:ascii="Arial" w:eastAsia="Calibri" w:hAnsi="Arial" w:cs="Arial"/>
          <w:bCs/>
          <w:sz w:val="20"/>
          <w:szCs w:val="20"/>
          <w:vertAlign w:val="superscript"/>
        </w:rPr>
        <w:t>1</w:t>
      </w:r>
      <w:r w:rsidR="00E132A4">
        <w:rPr>
          <w:rFonts w:ascii="Arial" w:eastAsia="Calibri" w:hAnsi="Arial" w:cs="Arial"/>
          <w:bCs/>
          <w:sz w:val="20"/>
          <w:szCs w:val="20"/>
        </w:rPr>
        <w:t xml:space="preserve">, </w:t>
      </w:r>
      <w:r w:rsidR="00F150EF">
        <w:rPr>
          <w:rFonts w:ascii="Arial" w:eastAsia="Calibri" w:hAnsi="Arial" w:cs="Arial"/>
          <w:bCs/>
          <w:sz w:val="20"/>
          <w:szCs w:val="20"/>
        </w:rPr>
        <w:t>Thinh Don-Nguyen-Quang</w:t>
      </w:r>
      <w:r w:rsidR="00F150EF" w:rsidRPr="00155E0B">
        <w:rPr>
          <w:rFonts w:ascii="Arial" w:eastAsia="Calibri" w:hAnsi="Arial" w:cs="Arial"/>
          <w:bCs/>
          <w:sz w:val="20"/>
          <w:szCs w:val="20"/>
          <w:vertAlign w:val="superscript"/>
        </w:rPr>
        <w:t>1</w:t>
      </w:r>
      <w:r w:rsidR="00F150EF">
        <w:rPr>
          <w:rFonts w:ascii="Arial" w:eastAsia="Calibri" w:hAnsi="Arial" w:cs="Arial"/>
          <w:bCs/>
          <w:sz w:val="20"/>
          <w:szCs w:val="20"/>
        </w:rPr>
        <w:t xml:space="preserve">, </w:t>
      </w:r>
      <w:r w:rsidRPr="00155E0B">
        <w:rPr>
          <w:rFonts w:ascii="Arial" w:eastAsia="Calibri" w:hAnsi="Arial" w:cs="Arial"/>
          <w:bCs/>
          <w:sz w:val="20"/>
          <w:szCs w:val="20"/>
        </w:rPr>
        <w:t>Thai Nguyen-Minh</w:t>
      </w:r>
      <w:r w:rsidRPr="00155E0B">
        <w:rPr>
          <w:rFonts w:ascii="Arial" w:eastAsia="Calibri" w:hAnsi="Arial" w:cs="Arial"/>
          <w:bCs/>
          <w:sz w:val="20"/>
          <w:szCs w:val="20"/>
          <w:vertAlign w:val="superscript"/>
        </w:rPr>
        <w:t>1</w:t>
      </w:r>
      <w:r w:rsidRPr="00155E0B">
        <w:rPr>
          <w:rFonts w:ascii="Arial" w:eastAsia="Calibri" w:hAnsi="Arial" w:cs="Arial"/>
          <w:bCs/>
          <w:sz w:val="20"/>
          <w:szCs w:val="20"/>
          <w:vertAlign w:val="superscript"/>
        </w:rPr>
        <w:tab/>
      </w:r>
    </w:p>
    <w:p w14:paraId="2867C595" w14:textId="27FB955C" w:rsidR="0028054F" w:rsidRPr="0031416C" w:rsidRDefault="0028054F" w:rsidP="0028054F">
      <w:pPr>
        <w:spacing w:after="0" w:line="240" w:lineRule="auto"/>
        <w:rPr>
          <w:rFonts w:ascii="Arial" w:eastAsia="Calibri" w:hAnsi="Arial" w:cs="Calibri"/>
          <w:bCs/>
          <w:sz w:val="20"/>
          <w:szCs w:val="20"/>
        </w:rPr>
      </w:pPr>
      <w:r w:rsidRPr="00155E0B">
        <w:rPr>
          <w:rFonts w:ascii="Arial" w:eastAsia="Calibri" w:hAnsi="Arial" w:cs="Arial"/>
          <w:bCs/>
          <w:sz w:val="20"/>
          <w:szCs w:val="20"/>
          <w:vertAlign w:val="superscript"/>
        </w:rPr>
        <w:t>1</w:t>
      </w:r>
      <w:r w:rsidR="0031416C" w:rsidRPr="00CC166E">
        <w:rPr>
          <w:rFonts w:ascii="Arial" w:eastAsia="Calibri" w:hAnsi="Arial" w:cs="Calibri"/>
          <w:bCs/>
          <w:sz w:val="20"/>
          <w:szCs w:val="20"/>
        </w:rPr>
        <w:t>Department of Microbiology and Parisitology, Faculty of Pharmacy, University of Medicine and Pharmacy at Ho Chi Minh City</w:t>
      </w:r>
      <w:r w:rsidR="0031416C" w:rsidRPr="00CC166E">
        <w:rPr>
          <w:rFonts w:ascii="Arial" w:eastAsia="Calibri" w:hAnsi="Arial" w:cs="Calibri"/>
          <w:bCs/>
          <w:sz w:val="20"/>
          <w:szCs w:val="20"/>
          <w:vertAlign w:val="superscript"/>
        </w:rPr>
        <w:t>1</w:t>
      </w:r>
      <w:r w:rsidR="0031416C" w:rsidRPr="00CC166E">
        <w:rPr>
          <w:rFonts w:ascii="Arial" w:eastAsia="Calibri" w:hAnsi="Arial" w:cs="Calibri"/>
          <w:bCs/>
          <w:sz w:val="20"/>
          <w:szCs w:val="20"/>
        </w:rPr>
        <w:t>, Ho Chi Minh City, Vietnam</w:t>
      </w:r>
      <w:r w:rsidR="0031416C">
        <w:rPr>
          <w:rFonts w:ascii="Arial" w:eastAsia="Calibri" w:hAnsi="Arial" w:cs="Calibri"/>
          <w:bCs/>
          <w:sz w:val="20"/>
          <w:szCs w:val="20"/>
        </w:rPr>
        <w:t>.</w:t>
      </w:r>
      <w:r w:rsidRPr="00155E0B">
        <w:rPr>
          <w:rFonts w:ascii="Arial" w:eastAsia="Calibri" w:hAnsi="Arial" w:cs="Arial"/>
          <w:bCs/>
          <w:sz w:val="20"/>
          <w:szCs w:val="20"/>
        </w:rPr>
        <w:t> </w:t>
      </w:r>
    </w:p>
    <w:p w14:paraId="18CDC318" w14:textId="11D0811E" w:rsidR="0028054F" w:rsidRPr="00155E0B" w:rsidRDefault="0028054F" w:rsidP="0028054F">
      <w:pPr>
        <w:pStyle w:val="NormalWeb"/>
        <w:jc w:val="both"/>
        <w:rPr>
          <w:rFonts w:ascii="Arial" w:eastAsia="Calibri" w:hAnsi="Arial" w:cs="Arial"/>
          <w:bCs/>
          <w:sz w:val="20"/>
          <w:szCs w:val="20"/>
        </w:rPr>
      </w:pPr>
      <w:r w:rsidRPr="00155E0B">
        <w:rPr>
          <w:rFonts w:ascii="Arial" w:eastAsia="Calibri" w:hAnsi="Arial" w:cs="Arial"/>
          <w:b/>
          <w:sz w:val="20"/>
          <w:szCs w:val="20"/>
        </w:rPr>
        <w:t xml:space="preserve">Background and aims. </w:t>
      </w:r>
      <w:r w:rsidR="006F5041" w:rsidRPr="00155E0B">
        <w:rPr>
          <w:rFonts w:ascii="Arial" w:eastAsia="Calibri" w:hAnsi="Arial" w:cs="Arial"/>
          <w:bCs/>
          <w:sz w:val="20"/>
          <w:szCs w:val="20"/>
        </w:rPr>
        <w:t xml:space="preserve">With the increasing demand for improved diagnostics </w:t>
      </w:r>
      <w:r w:rsidR="00B020BE">
        <w:rPr>
          <w:rFonts w:ascii="Arial" w:eastAsia="Calibri" w:hAnsi="Arial" w:cs="Arial"/>
          <w:bCs/>
          <w:sz w:val="20"/>
          <w:szCs w:val="20"/>
        </w:rPr>
        <w:t xml:space="preserve">for cancer </w:t>
      </w:r>
      <w:r w:rsidR="006F5041" w:rsidRPr="00155E0B">
        <w:rPr>
          <w:rFonts w:ascii="Arial" w:eastAsia="Calibri" w:hAnsi="Arial" w:cs="Arial"/>
          <w:bCs/>
          <w:sz w:val="20"/>
          <w:szCs w:val="20"/>
        </w:rPr>
        <w:t xml:space="preserve">and therapeutics for diabetes, the development of efficient recombinant protein production systems has become essential. Periplasmic </w:t>
      </w:r>
      <w:r w:rsidR="00BC3885">
        <w:rPr>
          <w:rFonts w:ascii="Arial" w:eastAsia="Calibri" w:hAnsi="Arial" w:cs="Arial"/>
          <w:bCs/>
          <w:sz w:val="20"/>
          <w:szCs w:val="20"/>
        </w:rPr>
        <w:t xml:space="preserve">protein </w:t>
      </w:r>
      <w:r w:rsidR="006F5041" w:rsidRPr="00155E0B">
        <w:rPr>
          <w:rFonts w:ascii="Arial" w:eastAsia="Calibri" w:hAnsi="Arial" w:cs="Arial"/>
          <w:bCs/>
          <w:sz w:val="20"/>
          <w:szCs w:val="20"/>
        </w:rPr>
        <w:t xml:space="preserve">expression in </w:t>
      </w:r>
      <w:r w:rsidR="006F5041" w:rsidRPr="00155E0B">
        <w:rPr>
          <w:rFonts w:ascii="Arial" w:eastAsia="Calibri" w:hAnsi="Arial" w:cs="Arial"/>
          <w:bCs/>
          <w:i/>
          <w:sz w:val="20"/>
          <w:szCs w:val="20"/>
        </w:rPr>
        <w:t xml:space="preserve">Escherichia coli </w:t>
      </w:r>
      <w:r w:rsidR="006F5041" w:rsidRPr="00155E0B">
        <w:rPr>
          <w:rFonts w:ascii="Arial" w:eastAsia="Calibri" w:hAnsi="Arial" w:cs="Arial"/>
          <w:bCs/>
          <w:sz w:val="20"/>
          <w:szCs w:val="20"/>
        </w:rPr>
        <w:t>promotes proper protein folding and simplifies downstream purification.</w:t>
      </w:r>
      <w:r w:rsidR="00B32133" w:rsidRPr="00155E0B">
        <w:rPr>
          <w:rFonts w:ascii="Arial" w:eastAsia="Calibri" w:hAnsi="Arial" w:cs="Arial"/>
          <w:bCs/>
          <w:sz w:val="20"/>
          <w:szCs w:val="20"/>
        </w:rPr>
        <w:t xml:space="preserve"> </w:t>
      </w:r>
      <w:r w:rsidR="006F5041" w:rsidRPr="00155E0B">
        <w:rPr>
          <w:rFonts w:ascii="Arial" w:eastAsia="Calibri" w:hAnsi="Arial" w:cs="Arial"/>
          <w:bCs/>
          <w:sz w:val="20"/>
          <w:szCs w:val="20"/>
        </w:rPr>
        <w:t xml:space="preserve">In this study, we utilize the </w:t>
      </w:r>
      <w:r w:rsidR="006F5041" w:rsidRPr="00155E0B">
        <w:rPr>
          <w:rFonts w:ascii="Arial" w:eastAsia="Calibri" w:hAnsi="Arial" w:cs="Arial"/>
          <w:bCs/>
          <w:i/>
          <w:sz w:val="20"/>
          <w:szCs w:val="20"/>
        </w:rPr>
        <w:t>E. coli</w:t>
      </w:r>
      <w:r w:rsidR="006F5041" w:rsidRPr="00155E0B">
        <w:rPr>
          <w:rFonts w:ascii="Arial" w:eastAsia="Calibri" w:hAnsi="Arial" w:cs="Arial"/>
          <w:bCs/>
          <w:sz w:val="20"/>
          <w:szCs w:val="20"/>
        </w:rPr>
        <w:t xml:space="preserve"> W3110 ΔompC strain to express two medically relevant recombinant proteins</w:t>
      </w:r>
      <w:r w:rsidR="00A54439">
        <w:rPr>
          <w:rFonts w:ascii="Arial" w:eastAsia="Calibri" w:hAnsi="Arial" w:cs="Arial"/>
          <w:bCs/>
          <w:sz w:val="20"/>
          <w:szCs w:val="20"/>
        </w:rPr>
        <w:t xml:space="preserve">: </w:t>
      </w:r>
      <w:r w:rsidR="006F5041" w:rsidRPr="00155E0B">
        <w:rPr>
          <w:rFonts w:ascii="Arial" w:eastAsia="Calibri" w:hAnsi="Arial" w:cs="Arial"/>
          <w:bCs/>
          <w:sz w:val="20"/>
          <w:szCs w:val="20"/>
        </w:rPr>
        <w:t>nanobody NTV1</w:t>
      </w:r>
      <w:r w:rsidR="00A54439">
        <w:rPr>
          <w:rFonts w:ascii="Arial" w:eastAsia="Calibri" w:hAnsi="Arial" w:cs="Arial"/>
          <w:bCs/>
          <w:sz w:val="20"/>
          <w:szCs w:val="20"/>
        </w:rPr>
        <w:t xml:space="preserve"> (</w:t>
      </w:r>
      <w:r w:rsidR="006F5041" w:rsidRPr="00155E0B">
        <w:rPr>
          <w:rFonts w:ascii="Arial" w:eastAsia="Calibri" w:hAnsi="Arial" w:cs="Arial"/>
          <w:bCs/>
          <w:sz w:val="20"/>
          <w:szCs w:val="20"/>
        </w:rPr>
        <w:t>targeting VEGFR2</w:t>
      </w:r>
      <w:r w:rsidR="00A54439">
        <w:rPr>
          <w:rFonts w:ascii="Arial" w:eastAsia="Calibri" w:hAnsi="Arial" w:cs="Arial"/>
          <w:bCs/>
          <w:sz w:val="20"/>
          <w:szCs w:val="20"/>
        </w:rPr>
        <w:t xml:space="preserve">, </w:t>
      </w:r>
      <w:r w:rsidR="006F5041" w:rsidRPr="00155E0B">
        <w:rPr>
          <w:rFonts w:ascii="Arial" w:eastAsia="Calibri" w:hAnsi="Arial" w:cs="Arial"/>
          <w:bCs/>
          <w:sz w:val="20"/>
          <w:szCs w:val="20"/>
        </w:rPr>
        <w:t>a biomarker closely associated with angiogenesis and tumor growth), and proinsulin</w:t>
      </w:r>
      <w:r w:rsidR="00A54439">
        <w:rPr>
          <w:rFonts w:ascii="Arial" w:eastAsia="Calibri" w:hAnsi="Arial" w:cs="Arial"/>
          <w:bCs/>
          <w:sz w:val="20"/>
          <w:szCs w:val="20"/>
        </w:rPr>
        <w:t xml:space="preserve"> (</w:t>
      </w:r>
      <w:r w:rsidR="006F5041" w:rsidRPr="00155E0B">
        <w:rPr>
          <w:rFonts w:ascii="Arial" w:eastAsia="Calibri" w:hAnsi="Arial" w:cs="Arial"/>
          <w:bCs/>
          <w:sz w:val="20"/>
          <w:szCs w:val="20"/>
        </w:rPr>
        <w:t>a precursor of insulin</w:t>
      </w:r>
      <w:r w:rsidR="00A54439">
        <w:rPr>
          <w:rFonts w:ascii="Arial" w:eastAsia="Calibri" w:hAnsi="Arial" w:cs="Arial"/>
          <w:bCs/>
          <w:sz w:val="20"/>
          <w:szCs w:val="20"/>
        </w:rPr>
        <w:t>)</w:t>
      </w:r>
      <w:r w:rsidR="00B95275" w:rsidRPr="00155E0B">
        <w:rPr>
          <w:rFonts w:ascii="Arial" w:eastAsia="Calibri" w:hAnsi="Arial" w:cs="Arial"/>
          <w:bCs/>
          <w:sz w:val="20"/>
          <w:szCs w:val="20"/>
        </w:rPr>
        <w:t>.</w:t>
      </w:r>
    </w:p>
    <w:p w14:paraId="28C22718" w14:textId="595D26C9" w:rsidR="00D86E9D" w:rsidRPr="00155E0B" w:rsidRDefault="0028054F" w:rsidP="003A6780">
      <w:pPr>
        <w:pStyle w:val="NormalWeb"/>
        <w:jc w:val="both"/>
        <w:rPr>
          <w:rFonts w:ascii="Arial" w:hAnsi="Arial" w:cs="Arial"/>
          <w:sz w:val="20"/>
          <w:szCs w:val="20"/>
        </w:rPr>
      </w:pPr>
      <w:r w:rsidRPr="00155E0B">
        <w:rPr>
          <w:rFonts w:ascii="Arial" w:eastAsia="Calibri" w:hAnsi="Arial" w:cs="Arial"/>
          <w:b/>
          <w:sz w:val="20"/>
          <w:szCs w:val="20"/>
        </w:rPr>
        <w:t>Methods.</w:t>
      </w:r>
      <w:r w:rsidRPr="00155E0B">
        <w:rPr>
          <w:rFonts w:ascii="Arial" w:eastAsia="Calibri" w:hAnsi="Arial" w:cs="Arial"/>
          <w:bCs/>
          <w:sz w:val="20"/>
          <w:szCs w:val="20"/>
        </w:rPr>
        <w:t xml:space="preserve"> </w:t>
      </w:r>
      <w:r w:rsidR="002963CF" w:rsidRPr="00155E0B">
        <w:rPr>
          <w:rFonts w:ascii="Arial" w:hAnsi="Arial" w:cs="Arial"/>
          <w:sz w:val="20"/>
          <w:szCs w:val="20"/>
        </w:rPr>
        <w:t>The</w:t>
      </w:r>
      <w:r w:rsidR="00D86E9D" w:rsidRPr="00155E0B">
        <w:rPr>
          <w:rFonts w:ascii="Arial" w:hAnsi="Arial" w:cs="Arial"/>
          <w:sz w:val="20"/>
          <w:szCs w:val="20"/>
        </w:rPr>
        <w:t xml:space="preserve"> coding sequences of human proinsulin and NTV1 </w:t>
      </w:r>
      <w:r w:rsidR="002963CF" w:rsidRPr="00155E0B">
        <w:rPr>
          <w:rFonts w:ascii="Arial" w:hAnsi="Arial" w:cs="Arial"/>
          <w:sz w:val="20"/>
          <w:szCs w:val="20"/>
        </w:rPr>
        <w:t xml:space="preserve">was cloned </w:t>
      </w:r>
      <w:r w:rsidR="00D86E9D" w:rsidRPr="00155E0B">
        <w:rPr>
          <w:rFonts w:ascii="Arial" w:hAnsi="Arial" w:cs="Arial"/>
          <w:sz w:val="20"/>
          <w:szCs w:val="20"/>
        </w:rPr>
        <w:t>into plasmid pSBinit</w:t>
      </w:r>
      <w:r w:rsidR="002963CF" w:rsidRPr="00155E0B">
        <w:rPr>
          <w:rFonts w:ascii="Arial" w:hAnsi="Arial" w:cs="Arial"/>
          <w:sz w:val="20"/>
          <w:szCs w:val="20"/>
        </w:rPr>
        <w:t xml:space="preserve"> (#Addgene </w:t>
      </w:r>
      <w:r w:rsidR="00E176F1" w:rsidRPr="00155E0B">
        <w:rPr>
          <w:rFonts w:ascii="Arial" w:hAnsi="Arial" w:cs="Arial"/>
          <w:sz w:val="20"/>
          <w:szCs w:val="20"/>
        </w:rPr>
        <w:t>110100</w:t>
      </w:r>
      <w:r w:rsidR="000C26A1" w:rsidRPr="00155E0B">
        <w:rPr>
          <w:rFonts w:ascii="Arial" w:hAnsi="Arial" w:cs="Arial"/>
          <w:sz w:val="20"/>
          <w:szCs w:val="20"/>
        </w:rPr>
        <w:t>)</w:t>
      </w:r>
      <w:r w:rsidR="00B95275" w:rsidRPr="00155E0B">
        <w:rPr>
          <w:rFonts w:ascii="Arial" w:hAnsi="Arial" w:cs="Arial"/>
          <w:sz w:val="20"/>
          <w:szCs w:val="20"/>
        </w:rPr>
        <w:t xml:space="preserve"> and</w:t>
      </w:r>
      <w:r w:rsidR="00D86E9D" w:rsidRPr="00155E0B">
        <w:rPr>
          <w:rFonts w:ascii="Arial" w:hAnsi="Arial" w:cs="Arial"/>
          <w:sz w:val="20"/>
          <w:szCs w:val="20"/>
        </w:rPr>
        <w:t xml:space="preserve"> subsequently transformed into </w:t>
      </w:r>
      <w:r w:rsidR="00D86E9D" w:rsidRPr="00155E0B">
        <w:rPr>
          <w:rFonts w:ascii="Arial" w:hAnsi="Arial" w:cs="Arial"/>
          <w:i/>
          <w:iCs/>
          <w:sz w:val="20"/>
          <w:szCs w:val="20"/>
        </w:rPr>
        <w:t>E. coli</w:t>
      </w:r>
      <w:r w:rsidR="00D86E9D" w:rsidRPr="00155E0B">
        <w:rPr>
          <w:rFonts w:ascii="Arial" w:hAnsi="Arial" w:cs="Arial"/>
          <w:sz w:val="20"/>
          <w:szCs w:val="20"/>
        </w:rPr>
        <w:t xml:space="preserve"> W3110 ΔompC. The bacteria were cultured in AMS minimal medium </w:t>
      </w:r>
      <w:r w:rsidR="00F64A7F" w:rsidRPr="00155E0B">
        <w:rPr>
          <w:rFonts w:ascii="Arial" w:hAnsi="Arial" w:cs="Arial"/>
          <w:sz w:val="20"/>
          <w:szCs w:val="20"/>
        </w:rPr>
        <w:t>and p</w:t>
      </w:r>
      <w:r w:rsidR="00D86E9D" w:rsidRPr="00155E0B">
        <w:rPr>
          <w:rFonts w:ascii="Arial" w:hAnsi="Arial" w:cs="Arial"/>
          <w:sz w:val="20"/>
          <w:szCs w:val="20"/>
        </w:rPr>
        <w:t xml:space="preserve">eriplasmic proteins were extracted using osmotic shock combined with lysozyme lysis. Proinsulin was purified by ion exchange chromatography, while NTV1 was purified by </w:t>
      </w:r>
      <w:r w:rsidR="00307298" w:rsidRPr="00155E0B">
        <w:rPr>
          <w:rFonts w:ascii="Arial" w:hAnsi="Arial" w:cs="Arial"/>
          <w:sz w:val="20"/>
          <w:szCs w:val="20"/>
        </w:rPr>
        <w:t xml:space="preserve">nickel </w:t>
      </w:r>
      <w:r w:rsidR="00D86E9D" w:rsidRPr="00155E0B">
        <w:rPr>
          <w:rFonts w:ascii="Arial" w:hAnsi="Arial" w:cs="Arial"/>
          <w:sz w:val="20"/>
          <w:szCs w:val="20"/>
        </w:rPr>
        <w:t>affinity chromatography.</w:t>
      </w:r>
      <w:r w:rsidR="008A4B1C" w:rsidRPr="00155E0B">
        <w:rPr>
          <w:rFonts w:ascii="Arial" w:hAnsi="Arial" w:cs="Arial"/>
          <w:sz w:val="20"/>
          <w:szCs w:val="20"/>
        </w:rPr>
        <w:t xml:space="preserve"> </w:t>
      </w:r>
      <w:r w:rsidR="00492DCC" w:rsidRPr="00155E0B">
        <w:rPr>
          <w:rFonts w:ascii="Arial" w:hAnsi="Arial" w:cs="Arial"/>
          <w:sz w:val="20"/>
          <w:szCs w:val="20"/>
        </w:rPr>
        <w:t>T</w:t>
      </w:r>
      <w:r w:rsidR="00D86E9D" w:rsidRPr="00155E0B">
        <w:rPr>
          <w:rFonts w:ascii="Arial" w:hAnsi="Arial" w:cs="Arial"/>
          <w:sz w:val="20"/>
          <w:szCs w:val="20"/>
        </w:rPr>
        <w:t>he binding</w:t>
      </w:r>
      <w:r w:rsidR="00492DCC" w:rsidRPr="00155E0B">
        <w:rPr>
          <w:rFonts w:ascii="Arial" w:hAnsi="Arial" w:cs="Arial"/>
          <w:sz w:val="20"/>
          <w:szCs w:val="20"/>
        </w:rPr>
        <w:t xml:space="preserve"> ability</w:t>
      </w:r>
      <w:r w:rsidR="00D86E9D" w:rsidRPr="00155E0B">
        <w:rPr>
          <w:rFonts w:ascii="Arial" w:hAnsi="Arial" w:cs="Arial"/>
          <w:sz w:val="20"/>
          <w:szCs w:val="20"/>
        </w:rPr>
        <w:t xml:space="preserve"> of NTV1 to VEGFR2 was analyzed by direct ELISA and IC</w:t>
      </w:r>
      <w:r w:rsidR="00D86E9D" w:rsidRPr="00155E0B">
        <w:rPr>
          <w:rFonts w:ascii="Cambria Math" w:hAnsi="Cambria Math" w:cs="Cambria Math"/>
          <w:sz w:val="20"/>
          <w:szCs w:val="20"/>
        </w:rPr>
        <w:t>₅₀</w:t>
      </w:r>
      <w:r w:rsidR="00D86E9D" w:rsidRPr="00155E0B">
        <w:rPr>
          <w:rFonts w:ascii="Arial" w:hAnsi="Arial" w:cs="Arial"/>
          <w:sz w:val="20"/>
          <w:szCs w:val="20"/>
        </w:rPr>
        <w:t xml:space="preserve"> value </w:t>
      </w:r>
      <w:r w:rsidR="007D6526">
        <w:rPr>
          <w:rFonts w:ascii="Arial" w:hAnsi="Arial" w:cs="Arial"/>
          <w:sz w:val="20"/>
          <w:szCs w:val="20"/>
        </w:rPr>
        <w:t xml:space="preserve">was used </w:t>
      </w:r>
      <w:r w:rsidR="00D86E9D" w:rsidRPr="00155E0B">
        <w:rPr>
          <w:rFonts w:ascii="Arial" w:hAnsi="Arial" w:cs="Arial"/>
          <w:sz w:val="20"/>
          <w:szCs w:val="20"/>
        </w:rPr>
        <w:t>as a measure of interaction strength. For proinsulin, enzymatic digestion with trypsin and carboxypeptidase was performed</w:t>
      </w:r>
      <w:r w:rsidR="00561F57" w:rsidRPr="00155E0B">
        <w:rPr>
          <w:rFonts w:ascii="Arial" w:hAnsi="Arial" w:cs="Arial"/>
          <w:sz w:val="20"/>
          <w:szCs w:val="20"/>
        </w:rPr>
        <w:t>,</w:t>
      </w:r>
      <w:r w:rsidR="00D86E9D" w:rsidRPr="00155E0B">
        <w:rPr>
          <w:rFonts w:ascii="Arial" w:hAnsi="Arial" w:cs="Arial"/>
          <w:sz w:val="20"/>
          <w:szCs w:val="20"/>
        </w:rPr>
        <w:t xml:space="preserve"> </w:t>
      </w:r>
      <w:r w:rsidR="007D6526">
        <w:rPr>
          <w:rFonts w:ascii="Arial" w:hAnsi="Arial" w:cs="Arial"/>
          <w:sz w:val="20"/>
          <w:szCs w:val="20"/>
        </w:rPr>
        <w:t xml:space="preserve">resulting in </w:t>
      </w:r>
      <w:r w:rsidR="00D86E9D" w:rsidRPr="00155E0B">
        <w:rPr>
          <w:rFonts w:ascii="Arial" w:hAnsi="Arial" w:cs="Arial"/>
          <w:sz w:val="20"/>
          <w:szCs w:val="20"/>
        </w:rPr>
        <w:t xml:space="preserve">insulin and C-peptide products </w:t>
      </w:r>
      <w:r w:rsidR="007D6526">
        <w:rPr>
          <w:rFonts w:ascii="Arial" w:hAnsi="Arial" w:cs="Arial"/>
          <w:sz w:val="20"/>
          <w:szCs w:val="20"/>
        </w:rPr>
        <w:t xml:space="preserve">which </w:t>
      </w:r>
      <w:r w:rsidR="00D86E9D" w:rsidRPr="00155E0B">
        <w:rPr>
          <w:rFonts w:ascii="Arial" w:hAnsi="Arial" w:cs="Arial"/>
          <w:sz w:val="20"/>
          <w:szCs w:val="20"/>
        </w:rPr>
        <w:t xml:space="preserve">were </w:t>
      </w:r>
      <w:r w:rsidR="00561F57" w:rsidRPr="00155E0B">
        <w:rPr>
          <w:rFonts w:ascii="Arial" w:hAnsi="Arial" w:cs="Arial"/>
          <w:sz w:val="20"/>
          <w:szCs w:val="20"/>
        </w:rPr>
        <w:t xml:space="preserve">then </w:t>
      </w:r>
      <w:r w:rsidR="00D86E9D" w:rsidRPr="00155E0B">
        <w:rPr>
          <w:rFonts w:ascii="Arial" w:hAnsi="Arial" w:cs="Arial"/>
          <w:sz w:val="20"/>
          <w:szCs w:val="20"/>
        </w:rPr>
        <w:t>detected by ELISA to indirectly evaluate the qualitative of proinsulin.</w:t>
      </w:r>
    </w:p>
    <w:p w14:paraId="3B62801D" w14:textId="230CB973" w:rsidR="0028054F" w:rsidRPr="00155E0B" w:rsidRDefault="0028054F" w:rsidP="00D86E9D">
      <w:pPr>
        <w:pStyle w:val="NormalWeb"/>
        <w:jc w:val="both"/>
        <w:rPr>
          <w:rFonts w:ascii="Arial" w:eastAsia="Calibri" w:hAnsi="Arial" w:cs="Arial"/>
          <w:bCs/>
          <w:sz w:val="20"/>
          <w:szCs w:val="20"/>
          <w:lang w:val="en-AU"/>
        </w:rPr>
      </w:pPr>
      <w:r w:rsidRPr="00155E0B">
        <w:rPr>
          <w:rFonts w:ascii="Arial" w:eastAsia="Calibri" w:hAnsi="Arial" w:cs="Arial"/>
          <w:b/>
          <w:bCs/>
          <w:sz w:val="20"/>
          <w:szCs w:val="20"/>
        </w:rPr>
        <w:t>Results.</w:t>
      </w:r>
      <w:r w:rsidRPr="00155E0B">
        <w:rPr>
          <w:rFonts w:ascii="Arial" w:eastAsia="Calibri" w:hAnsi="Arial" w:cs="Arial"/>
          <w:sz w:val="20"/>
          <w:szCs w:val="20"/>
          <w:lang w:val="en-GB"/>
        </w:rPr>
        <w:t xml:space="preserve"> </w:t>
      </w:r>
      <w:r w:rsidR="004C263E" w:rsidRPr="00155E0B">
        <w:rPr>
          <w:rFonts w:ascii="Arial" w:hAnsi="Arial" w:cs="Arial"/>
          <w:sz w:val="20"/>
          <w:szCs w:val="20"/>
        </w:rPr>
        <w:t xml:space="preserve">The periplasmic </w:t>
      </w:r>
      <w:r w:rsidR="00D4641D" w:rsidRPr="00155E0B">
        <w:rPr>
          <w:rFonts w:ascii="Arial" w:hAnsi="Arial" w:cs="Arial"/>
          <w:sz w:val="20"/>
          <w:szCs w:val="20"/>
        </w:rPr>
        <w:t xml:space="preserve">proinsulin extracted from </w:t>
      </w:r>
      <w:r w:rsidR="004C263E" w:rsidRPr="00155E0B">
        <w:rPr>
          <w:rStyle w:val="Emphasis"/>
          <w:rFonts w:ascii="Arial" w:hAnsi="Arial" w:cs="Arial"/>
          <w:sz w:val="20"/>
          <w:szCs w:val="20"/>
        </w:rPr>
        <w:t>E. coli</w:t>
      </w:r>
      <w:r w:rsidR="004C263E" w:rsidRPr="00155E0B">
        <w:rPr>
          <w:rFonts w:ascii="Arial" w:hAnsi="Arial" w:cs="Arial"/>
          <w:sz w:val="20"/>
          <w:szCs w:val="20"/>
        </w:rPr>
        <w:t xml:space="preserve"> W3110 ΔompC yielded a concentration of 1.75 mg/mL</w:t>
      </w:r>
      <w:r w:rsidR="00D94A8F">
        <w:rPr>
          <w:rFonts w:ascii="Arial" w:hAnsi="Arial" w:cs="Arial"/>
          <w:sz w:val="20"/>
          <w:szCs w:val="20"/>
        </w:rPr>
        <w:t xml:space="preserve">, with a </w:t>
      </w:r>
      <w:r w:rsidR="00D94A8F" w:rsidRPr="00155E0B">
        <w:rPr>
          <w:rFonts w:ascii="Arial" w:hAnsi="Arial" w:cs="Arial"/>
          <w:sz w:val="20"/>
          <w:szCs w:val="20"/>
        </w:rPr>
        <w:t>~9.4 kDa</w:t>
      </w:r>
      <w:r w:rsidR="00D94A8F">
        <w:rPr>
          <w:rFonts w:ascii="Arial" w:hAnsi="Arial" w:cs="Arial"/>
          <w:sz w:val="20"/>
          <w:szCs w:val="20"/>
        </w:rPr>
        <w:t xml:space="preserve"> band</w:t>
      </w:r>
      <w:r w:rsidR="004C263E" w:rsidRPr="00155E0B">
        <w:rPr>
          <w:rFonts w:ascii="Arial" w:hAnsi="Arial" w:cs="Arial"/>
          <w:sz w:val="20"/>
          <w:szCs w:val="20"/>
        </w:rPr>
        <w:t xml:space="preserve"> </w:t>
      </w:r>
      <w:r w:rsidR="00D94A8F" w:rsidRPr="00155E0B">
        <w:rPr>
          <w:rFonts w:ascii="Arial" w:hAnsi="Arial" w:cs="Arial"/>
          <w:sz w:val="20"/>
          <w:szCs w:val="20"/>
        </w:rPr>
        <w:t xml:space="preserve">observed on </w:t>
      </w:r>
      <w:r w:rsidR="004C263E" w:rsidRPr="00155E0B">
        <w:rPr>
          <w:rFonts w:ascii="Arial" w:hAnsi="Arial" w:cs="Arial"/>
          <w:sz w:val="20"/>
          <w:szCs w:val="20"/>
        </w:rPr>
        <w:t xml:space="preserve">SDS-PAGE, and </w:t>
      </w:r>
      <w:r w:rsidR="008814DA" w:rsidRPr="00155E0B">
        <w:rPr>
          <w:rFonts w:ascii="Arial" w:hAnsi="Arial" w:cs="Arial"/>
          <w:sz w:val="20"/>
          <w:szCs w:val="20"/>
        </w:rPr>
        <w:t>enzymatic digestion</w:t>
      </w:r>
      <w:r w:rsidR="008814DA">
        <w:rPr>
          <w:rFonts w:ascii="Arial" w:hAnsi="Arial" w:cs="Arial"/>
          <w:sz w:val="20"/>
          <w:szCs w:val="20"/>
        </w:rPr>
        <w:t xml:space="preserve"> </w:t>
      </w:r>
      <w:r w:rsidR="004C263E" w:rsidRPr="00155E0B">
        <w:rPr>
          <w:rFonts w:ascii="Arial" w:hAnsi="Arial" w:cs="Arial"/>
          <w:sz w:val="20"/>
          <w:szCs w:val="20"/>
        </w:rPr>
        <w:t>confirmed the presence of insulin and C-peptide, indicating successful expression and processing</w:t>
      </w:r>
      <w:r w:rsidR="00213885">
        <w:rPr>
          <w:rFonts w:ascii="Arial" w:hAnsi="Arial" w:cs="Arial"/>
          <w:sz w:val="20"/>
          <w:szCs w:val="20"/>
        </w:rPr>
        <w:t xml:space="preserve"> of proinsulin</w:t>
      </w:r>
      <w:r w:rsidR="004C263E" w:rsidRPr="00155E0B">
        <w:rPr>
          <w:rFonts w:ascii="Arial" w:hAnsi="Arial" w:cs="Arial"/>
          <w:sz w:val="20"/>
          <w:szCs w:val="20"/>
        </w:rPr>
        <w:t>. Meanwhile, NTV1 was obtained at 0.389 mg/mL</w:t>
      </w:r>
      <w:r w:rsidR="00213885">
        <w:rPr>
          <w:rFonts w:ascii="Arial" w:hAnsi="Arial" w:cs="Arial"/>
          <w:sz w:val="20"/>
          <w:szCs w:val="20"/>
        </w:rPr>
        <w:t xml:space="preserve">, </w:t>
      </w:r>
      <w:r w:rsidR="004C263E" w:rsidRPr="00155E0B">
        <w:rPr>
          <w:rFonts w:ascii="Arial" w:hAnsi="Arial" w:cs="Arial"/>
          <w:sz w:val="20"/>
          <w:szCs w:val="20"/>
        </w:rPr>
        <w:t>with a ~15 kDa band observed on SDS-PAGE</w:t>
      </w:r>
      <w:r w:rsidR="00D94A8F">
        <w:rPr>
          <w:rFonts w:ascii="Arial" w:hAnsi="Arial" w:cs="Arial"/>
          <w:sz w:val="20"/>
          <w:szCs w:val="20"/>
        </w:rPr>
        <w:t>, and</w:t>
      </w:r>
      <w:r w:rsidR="004C263E" w:rsidRPr="00155E0B">
        <w:rPr>
          <w:rFonts w:ascii="Arial" w:hAnsi="Arial" w:cs="Arial"/>
          <w:sz w:val="20"/>
          <w:szCs w:val="20"/>
        </w:rPr>
        <w:t xml:space="preserve"> ELISA analysis confirmed its specific binding to VEGFR2, with an IC</w:t>
      </w:r>
      <w:r w:rsidR="004C263E" w:rsidRPr="00155E0B">
        <w:rPr>
          <w:rFonts w:ascii="Cambria Math" w:hAnsi="Cambria Math" w:cs="Cambria Math"/>
          <w:sz w:val="20"/>
          <w:szCs w:val="20"/>
        </w:rPr>
        <w:t>₅₀</w:t>
      </w:r>
      <w:r w:rsidR="004C263E" w:rsidRPr="00155E0B">
        <w:rPr>
          <w:rFonts w:ascii="Arial" w:hAnsi="Arial" w:cs="Arial"/>
          <w:sz w:val="20"/>
          <w:szCs w:val="20"/>
        </w:rPr>
        <w:t xml:space="preserve"> of 4.161 µg/mL (95% CI: 1.861–9.304 µg/mL), </w:t>
      </w:r>
      <w:r w:rsidR="003B72E3">
        <w:rPr>
          <w:rFonts w:ascii="Arial" w:hAnsi="Arial" w:cs="Arial"/>
          <w:sz w:val="20"/>
          <w:szCs w:val="20"/>
        </w:rPr>
        <w:t xml:space="preserve">thus </w:t>
      </w:r>
      <w:r w:rsidR="004C263E" w:rsidRPr="00155E0B">
        <w:rPr>
          <w:rFonts w:ascii="Arial" w:hAnsi="Arial" w:cs="Arial"/>
          <w:sz w:val="20"/>
          <w:szCs w:val="20"/>
        </w:rPr>
        <w:t>demonstrating strong affinity.</w:t>
      </w:r>
    </w:p>
    <w:p w14:paraId="4CD99B72" w14:textId="5784E340" w:rsidR="00FF19A9" w:rsidRPr="00155E0B" w:rsidRDefault="0028054F" w:rsidP="003A6780">
      <w:pPr>
        <w:pStyle w:val="NormalWeb"/>
        <w:jc w:val="both"/>
        <w:rPr>
          <w:rFonts w:ascii="Arial" w:hAnsi="Arial" w:cs="Arial"/>
          <w:sz w:val="20"/>
          <w:szCs w:val="20"/>
        </w:rPr>
      </w:pPr>
      <w:r w:rsidRPr="00155E0B">
        <w:rPr>
          <w:rFonts w:ascii="Arial" w:eastAsia="Calibri" w:hAnsi="Arial" w:cs="Arial"/>
          <w:b/>
          <w:sz w:val="20"/>
          <w:szCs w:val="20"/>
        </w:rPr>
        <w:t>Conclusion.</w:t>
      </w:r>
      <w:r w:rsidRPr="00155E0B">
        <w:rPr>
          <w:rFonts w:ascii="Arial" w:eastAsia="Calibri" w:hAnsi="Arial" w:cs="Arial"/>
          <w:bCs/>
          <w:sz w:val="20"/>
          <w:szCs w:val="20"/>
        </w:rPr>
        <w:t xml:space="preserve"> </w:t>
      </w:r>
      <w:r w:rsidR="00FF19A9" w:rsidRPr="00155E0B">
        <w:rPr>
          <w:rFonts w:ascii="Arial" w:hAnsi="Arial" w:cs="Arial"/>
          <w:sz w:val="20"/>
          <w:szCs w:val="20"/>
        </w:rPr>
        <w:t>Th</w:t>
      </w:r>
      <w:r w:rsidR="00DA2CB7" w:rsidRPr="00155E0B">
        <w:rPr>
          <w:rFonts w:ascii="Arial" w:hAnsi="Arial" w:cs="Arial"/>
          <w:sz w:val="20"/>
          <w:szCs w:val="20"/>
        </w:rPr>
        <w:t>is</w:t>
      </w:r>
      <w:r w:rsidR="00FF19A9" w:rsidRPr="00155E0B">
        <w:rPr>
          <w:rFonts w:ascii="Arial" w:hAnsi="Arial" w:cs="Arial"/>
          <w:sz w:val="20"/>
          <w:szCs w:val="20"/>
        </w:rPr>
        <w:t xml:space="preserve"> study successfully generated a recombinant </w:t>
      </w:r>
      <w:r w:rsidR="00FF19A9" w:rsidRPr="00155E0B">
        <w:rPr>
          <w:rStyle w:val="Emphasis"/>
          <w:rFonts w:ascii="Arial" w:hAnsi="Arial" w:cs="Arial"/>
          <w:sz w:val="20"/>
          <w:szCs w:val="20"/>
        </w:rPr>
        <w:t>E. coli</w:t>
      </w:r>
      <w:r w:rsidR="00FF19A9" w:rsidRPr="00155E0B">
        <w:rPr>
          <w:rFonts w:ascii="Arial" w:hAnsi="Arial" w:cs="Arial"/>
          <w:sz w:val="20"/>
          <w:szCs w:val="20"/>
        </w:rPr>
        <w:t xml:space="preserve"> W3110 ΔompC strain expressing </w:t>
      </w:r>
      <w:r w:rsidR="00EE4E4C">
        <w:rPr>
          <w:rFonts w:ascii="Arial" w:hAnsi="Arial" w:cs="Arial"/>
          <w:sz w:val="20"/>
          <w:szCs w:val="20"/>
        </w:rPr>
        <w:t xml:space="preserve">validated </w:t>
      </w:r>
      <w:r w:rsidR="00FF19A9" w:rsidRPr="00155E0B">
        <w:rPr>
          <w:rFonts w:ascii="Arial" w:hAnsi="Arial" w:cs="Arial"/>
          <w:sz w:val="20"/>
          <w:szCs w:val="20"/>
        </w:rPr>
        <w:t xml:space="preserve">proinsulin and NTV1. These findings highlight the potential of </w:t>
      </w:r>
      <w:r w:rsidR="00150A6D" w:rsidRPr="00155E0B">
        <w:rPr>
          <w:rFonts w:ascii="Arial" w:hAnsi="Arial" w:cs="Arial"/>
          <w:sz w:val="20"/>
          <w:szCs w:val="20"/>
        </w:rPr>
        <w:t xml:space="preserve">utilizing recombinant </w:t>
      </w:r>
      <w:r w:rsidR="00150A6D" w:rsidRPr="00155E0B">
        <w:rPr>
          <w:rStyle w:val="Emphasis"/>
          <w:rFonts w:ascii="Arial" w:hAnsi="Arial" w:cs="Arial"/>
          <w:sz w:val="20"/>
          <w:szCs w:val="20"/>
        </w:rPr>
        <w:t>E. coli</w:t>
      </w:r>
      <w:r w:rsidR="00150A6D" w:rsidRPr="00155E0B">
        <w:rPr>
          <w:rFonts w:ascii="Arial" w:hAnsi="Arial" w:cs="Arial"/>
          <w:sz w:val="20"/>
          <w:szCs w:val="20"/>
        </w:rPr>
        <w:t xml:space="preserve"> W3110 ΔompC strain for production of </w:t>
      </w:r>
      <w:r w:rsidR="00FF19A9" w:rsidRPr="00155E0B">
        <w:rPr>
          <w:rFonts w:ascii="Arial" w:hAnsi="Arial" w:cs="Arial"/>
          <w:sz w:val="20"/>
          <w:szCs w:val="20"/>
        </w:rPr>
        <w:t>recombinant proteins</w:t>
      </w:r>
      <w:r w:rsidR="00150A6D" w:rsidRPr="00155E0B">
        <w:rPr>
          <w:rFonts w:ascii="Arial" w:hAnsi="Arial" w:cs="Arial"/>
          <w:sz w:val="20"/>
          <w:szCs w:val="20"/>
        </w:rPr>
        <w:t xml:space="preserve">, aiming for </w:t>
      </w:r>
      <w:r w:rsidR="00FF19A9" w:rsidRPr="00155E0B">
        <w:rPr>
          <w:rFonts w:ascii="Arial" w:hAnsi="Arial" w:cs="Arial"/>
          <w:sz w:val="20"/>
          <w:szCs w:val="20"/>
        </w:rPr>
        <w:t>future diagnostic and therapeutic applications.</w:t>
      </w:r>
    </w:p>
    <w:p w14:paraId="532D461F" w14:textId="77777777" w:rsidR="0028054F" w:rsidRPr="00155E0B" w:rsidRDefault="0028054F" w:rsidP="00FF19A9">
      <w:pPr>
        <w:pStyle w:val="NormalWeb"/>
        <w:jc w:val="both"/>
        <w:rPr>
          <w:rFonts w:ascii="Arial" w:eastAsia="Calibri" w:hAnsi="Arial" w:cs="Arial"/>
          <w:b/>
          <w:sz w:val="20"/>
          <w:szCs w:val="20"/>
        </w:rPr>
      </w:pPr>
      <w:r w:rsidRPr="00155E0B">
        <w:rPr>
          <w:rFonts w:ascii="Arial" w:eastAsia="Calibri" w:hAnsi="Arial" w:cs="Arial"/>
          <w:b/>
          <w:sz w:val="20"/>
          <w:szCs w:val="20"/>
        </w:rPr>
        <w:t>Acknowledgements.</w:t>
      </w:r>
      <w:r w:rsidRPr="00155E0B">
        <w:rPr>
          <w:rFonts w:ascii="Arial" w:eastAsia="Calibri" w:hAnsi="Arial" w:cs="Arial"/>
          <w:bCs/>
          <w:sz w:val="20"/>
          <w:szCs w:val="20"/>
        </w:rPr>
        <w:t>This work has received support from the Korea International Cooperation Agency (KOICA) under the project entitled "Education and Research Capacity Building Project at University of Medicine and Pharmacy at Ho Chi Minh City," conducted from [2024] to [2025] (Project No. 2021-00020-3).</w:t>
      </w:r>
    </w:p>
    <w:p w14:paraId="0AE7E7B6" w14:textId="77777777" w:rsidR="0028054F" w:rsidRPr="00155E0B" w:rsidRDefault="0028054F" w:rsidP="0028054F">
      <w:pPr>
        <w:spacing w:after="0" w:line="240" w:lineRule="auto"/>
        <w:jc w:val="both"/>
        <w:rPr>
          <w:rFonts w:ascii="Arial" w:eastAsia="Malgun Gothic" w:hAnsi="Arial" w:cs="Arial"/>
          <w:bCs/>
          <w:color w:val="4472C4"/>
          <w:sz w:val="20"/>
          <w:szCs w:val="20"/>
          <w:lang w:eastAsia="ko-KR"/>
        </w:rPr>
      </w:pPr>
      <w:r w:rsidRPr="00155E0B">
        <w:rPr>
          <w:rFonts w:ascii="Arial" w:eastAsia="Calibri" w:hAnsi="Arial" w:cs="Arial"/>
          <w:b/>
          <w:sz w:val="20"/>
          <w:szCs w:val="20"/>
        </w:rPr>
        <w:t>References:</w:t>
      </w:r>
    </w:p>
    <w:p w14:paraId="7DB0D96D" w14:textId="77777777" w:rsidR="0028054F" w:rsidRPr="00155E0B" w:rsidRDefault="0028054F" w:rsidP="0028054F">
      <w:pPr>
        <w:spacing w:after="0" w:line="240" w:lineRule="auto"/>
        <w:jc w:val="both"/>
        <w:rPr>
          <w:rFonts w:ascii="Arial" w:eastAsia="Calibri" w:hAnsi="Arial" w:cs="Arial"/>
          <w:bCs/>
          <w:sz w:val="20"/>
          <w:szCs w:val="20"/>
        </w:rPr>
      </w:pPr>
      <w:r w:rsidRPr="00155E0B">
        <w:rPr>
          <w:rFonts w:ascii="Arial" w:eastAsia="Calibri" w:hAnsi="Arial" w:cs="Arial"/>
          <w:bCs/>
          <w:sz w:val="20"/>
          <w:szCs w:val="20"/>
        </w:rPr>
        <w:t>1. Ma, L., Gu, K., Zhang, C. H., Chen, X. T., Jiang, Y., Melcher, K., ... &amp; Xu, H. E. (2016). Generation and characterization of a human nanobody against VEGFR-2. Acta Pharmacologica Sinica, 37(6), 857-864.</w:t>
      </w:r>
    </w:p>
    <w:p w14:paraId="791694DD" w14:textId="78A50000" w:rsidR="0062634B" w:rsidRPr="00155E0B" w:rsidRDefault="0028054F" w:rsidP="00465BF2">
      <w:pPr>
        <w:pStyle w:val="Bibliography"/>
        <w:spacing w:before="120" w:after="120" w:line="276" w:lineRule="auto"/>
        <w:jc w:val="both"/>
        <w:rPr>
          <w:rFonts w:ascii="Arial" w:hAnsi="Arial" w:cs="Arial"/>
          <w:sz w:val="20"/>
          <w:szCs w:val="20"/>
        </w:rPr>
      </w:pPr>
      <w:r w:rsidRPr="00155E0B">
        <w:rPr>
          <w:rFonts w:ascii="Arial" w:eastAsia="Calibri" w:hAnsi="Arial" w:cs="Arial"/>
          <w:bCs/>
          <w:sz w:val="20"/>
          <w:szCs w:val="20"/>
        </w:rPr>
        <w:t xml:space="preserve">2. </w:t>
      </w:r>
      <w:r w:rsidR="00FA5179" w:rsidRPr="00155E0B">
        <w:rPr>
          <w:rFonts w:ascii="Arial" w:hAnsi="Arial" w:cs="Arial"/>
          <w:sz w:val="20"/>
          <w:szCs w:val="20"/>
        </w:rPr>
        <w:t xml:space="preserve">Winter J, Neubauer P, Glockshuber R, Rudolph R. Increased production of human proinsulin in the periplasmic space of Escherichia coli by fusion to DsbA. </w:t>
      </w:r>
      <w:r w:rsidR="00FA5179" w:rsidRPr="00155E0B">
        <w:rPr>
          <w:rFonts w:ascii="Arial" w:hAnsi="Arial" w:cs="Arial"/>
          <w:i/>
          <w:iCs/>
          <w:sz w:val="20"/>
          <w:szCs w:val="20"/>
        </w:rPr>
        <w:t>J Biotechnol</w:t>
      </w:r>
      <w:r w:rsidR="00FA5179" w:rsidRPr="00155E0B">
        <w:rPr>
          <w:rFonts w:ascii="Arial" w:hAnsi="Arial" w:cs="Arial"/>
          <w:sz w:val="20"/>
          <w:szCs w:val="20"/>
        </w:rPr>
        <w:t>. 2001;84(2):175-185. doi:10.1016/s0168-1656(00)00356-4</w:t>
      </w:r>
    </w:p>
    <w:sectPr w:rsidR="0062634B" w:rsidRPr="00155E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56DD5" w14:textId="77777777" w:rsidR="00CC0C9B" w:rsidRDefault="00CC0C9B" w:rsidP="0062634B">
      <w:pPr>
        <w:spacing w:after="0" w:line="240" w:lineRule="auto"/>
      </w:pPr>
      <w:r>
        <w:separator/>
      </w:r>
    </w:p>
  </w:endnote>
  <w:endnote w:type="continuationSeparator" w:id="0">
    <w:p w14:paraId="3930B71E" w14:textId="77777777" w:rsidR="00CC0C9B" w:rsidRDefault="00CC0C9B" w:rsidP="0062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CF460" w14:textId="77777777" w:rsidR="00CC0C9B" w:rsidRDefault="00CC0C9B" w:rsidP="0062634B">
      <w:pPr>
        <w:spacing w:after="0" w:line="240" w:lineRule="auto"/>
      </w:pPr>
      <w:r>
        <w:separator/>
      </w:r>
    </w:p>
  </w:footnote>
  <w:footnote w:type="continuationSeparator" w:id="0">
    <w:p w14:paraId="6CED4E51" w14:textId="77777777" w:rsidR="00CC0C9B" w:rsidRDefault="00CC0C9B" w:rsidP="0062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94B61" w14:textId="77777777" w:rsidR="0062634B" w:rsidRDefault="0062634B">
    <w:pPr>
      <w:pStyle w:val="Header"/>
    </w:pPr>
  </w:p>
  <w:p w14:paraId="4BDDAD8A" w14:textId="77777777" w:rsidR="0062634B" w:rsidRDefault="00626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4B"/>
    <w:rsid w:val="000174CF"/>
    <w:rsid w:val="00096BBE"/>
    <w:rsid w:val="000C26A1"/>
    <w:rsid w:val="001268AE"/>
    <w:rsid w:val="00150A6D"/>
    <w:rsid w:val="00155E0B"/>
    <w:rsid w:val="00165BB9"/>
    <w:rsid w:val="002125CF"/>
    <w:rsid w:val="00213885"/>
    <w:rsid w:val="00234961"/>
    <w:rsid w:val="0028054F"/>
    <w:rsid w:val="002963CF"/>
    <w:rsid w:val="002C573B"/>
    <w:rsid w:val="00307298"/>
    <w:rsid w:val="0031416C"/>
    <w:rsid w:val="00357099"/>
    <w:rsid w:val="00392984"/>
    <w:rsid w:val="003A6780"/>
    <w:rsid w:val="003B72E3"/>
    <w:rsid w:val="003E1034"/>
    <w:rsid w:val="00465BF2"/>
    <w:rsid w:val="00484B4F"/>
    <w:rsid w:val="00492DCC"/>
    <w:rsid w:val="004C263E"/>
    <w:rsid w:val="00502FAE"/>
    <w:rsid w:val="0053485E"/>
    <w:rsid w:val="00557ADC"/>
    <w:rsid w:val="00561F57"/>
    <w:rsid w:val="005A6372"/>
    <w:rsid w:val="005B0C15"/>
    <w:rsid w:val="0062634B"/>
    <w:rsid w:val="006A30AA"/>
    <w:rsid w:val="006E1F89"/>
    <w:rsid w:val="006F5041"/>
    <w:rsid w:val="00793D79"/>
    <w:rsid w:val="007C1EE7"/>
    <w:rsid w:val="007D6526"/>
    <w:rsid w:val="00855FAB"/>
    <w:rsid w:val="008814DA"/>
    <w:rsid w:val="008A4B1C"/>
    <w:rsid w:val="0099191D"/>
    <w:rsid w:val="00A4442B"/>
    <w:rsid w:val="00A54439"/>
    <w:rsid w:val="00AC7AA8"/>
    <w:rsid w:val="00B020BE"/>
    <w:rsid w:val="00B1677D"/>
    <w:rsid w:val="00B23458"/>
    <w:rsid w:val="00B32133"/>
    <w:rsid w:val="00B75EE4"/>
    <w:rsid w:val="00B9055D"/>
    <w:rsid w:val="00B95275"/>
    <w:rsid w:val="00B97DC8"/>
    <w:rsid w:val="00BC3885"/>
    <w:rsid w:val="00C01F5F"/>
    <w:rsid w:val="00C2255D"/>
    <w:rsid w:val="00C31406"/>
    <w:rsid w:val="00C9556E"/>
    <w:rsid w:val="00CC0C9B"/>
    <w:rsid w:val="00D369D5"/>
    <w:rsid w:val="00D4641D"/>
    <w:rsid w:val="00D86E9D"/>
    <w:rsid w:val="00D94A8F"/>
    <w:rsid w:val="00DA2CB7"/>
    <w:rsid w:val="00DD23D0"/>
    <w:rsid w:val="00E132A4"/>
    <w:rsid w:val="00E176F1"/>
    <w:rsid w:val="00E76E80"/>
    <w:rsid w:val="00EE4E4C"/>
    <w:rsid w:val="00F03A29"/>
    <w:rsid w:val="00F150EF"/>
    <w:rsid w:val="00F64A7F"/>
    <w:rsid w:val="00FA5179"/>
    <w:rsid w:val="00FB2D66"/>
    <w:rsid w:val="00FC019A"/>
    <w:rsid w:val="00FC7B36"/>
    <w:rsid w:val="00FF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38FBC"/>
  <w15:chartTrackingRefBased/>
  <w15:docId w15:val="{FE4BF71E-187B-430D-BA61-874421F5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B"/>
  </w:style>
  <w:style w:type="paragraph" w:styleId="Footer">
    <w:name w:val="footer"/>
    <w:basedOn w:val="Normal"/>
    <w:link w:val="FooterChar"/>
    <w:uiPriority w:val="99"/>
    <w:unhideWhenUsed/>
    <w:rsid w:val="00626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B"/>
  </w:style>
  <w:style w:type="paragraph" w:styleId="NormalWeb">
    <w:name w:val="Normal (Web)"/>
    <w:basedOn w:val="Normal"/>
    <w:uiPriority w:val="99"/>
    <w:unhideWhenUsed/>
    <w:rsid w:val="0028054F"/>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FA5179"/>
  </w:style>
  <w:style w:type="character" w:styleId="Emphasis">
    <w:name w:val="Emphasis"/>
    <w:basedOn w:val="DefaultParagraphFont"/>
    <w:uiPriority w:val="20"/>
    <w:qFormat/>
    <w:rsid w:val="007C1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96439">
      <w:bodyDiv w:val="1"/>
      <w:marLeft w:val="0"/>
      <w:marRight w:val="0"/>
      <w:marTop w:val="0"/>
      <w:marBottom w:val="0"/>
      <w:divBdr>
        <w:top w:val="none" w:sz="0" w:space="0" w:color="auto"/>
        <w:left w:val="none" w:sz="0" w:space="0" w:color="auto"/>
        <w:bottom w:val="none" w:sz="0" w:space="0" w:color="auto"/>
        <w:right w:val="none" w:sz="0" w:space="0" w:color="auto"/>
      </w:divBdr>
    </w:div>
    <w:div w:id="1158964771">
      <w:bodyDiv w:val="1"/>
      <w:marLeft w:val="0"/>
      <w:marRight w:val="0"/>
      <w:marTop w:val="0"/>
      <w:marBottom w:val="0"/>
      <w:divBdr>
        <w:top w:val="none" w:sz="0" w:space="0" w:color="auto"/>
        <w:left w:val="none" w:sz="0" w:space="0" w:color="auto"/>
        <w:bottom w:val="none" w:sz="0" w:space="0" w:color="auto"/>
        <w:right w:val="none" w:sz="0" w:space="0" w:color="auto"/>
      </w:divBdr>
    </w:div>
    <w:div w:id="15664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Ngọc Dung</dc:creator>
  <cp:keywords/>
  <dc:description/>
  <cp:lastModifiedBy>NGUYỄN THANH HUY - D21</cp:lastModifiedBy>
  <cp:revision>54</cp:revision>
  <dcterms:created xsi:type="dcterms:W3CDTF">2025-07-18T04:42:00Z</dcterms:created>
  <dcterms:modified xsi:type="dcterms:W3CDTF">2025-07-21T23:55:00Z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9d39a439-00c7-4fb5-a5f1-99197412318f</vt:lpwstr>
  </property>
</Properties>
</file>