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7F6B0" w14:textId="77777777" w:rsidR="0049032D" w:rsidRDefault="0049032D" w:rsidP="0049032D">
      <w:pPr>
        <w:pStyle w:val="Default"/>
        <w:jc w:val="both"/>
        <w:rPr>
          <w:rFonts w:eastAsia="Times New Roman"/>
          <w:b/>
          <w:color w:val="auto"/>
          <w:sz w:val="20"/>
          <w:szCs w:val="20"/>
          <w:lang w:val="en-AU"/>
        </w:rPr>
      </w:pPr>
      <w:bookmarkStart w:id="0" w:name="_GoBack"/>
      <w:proofErr w:type="spellStart"/>
      <w:r w:rsidRPr="0049032D">
        <w:rPr>
          <w:rFonts w:eastAsia="Times New Roman"/>
          <w:b/>
          <w:color w:val="auto"/>
          <w:sz w:val="20"/>
          <w:szCs w:val="20"/>
          <w:lang w:val="en-AU"/>
        </w:rPr>
        <w:t>Balanites</w:t>
      </w:r>
      <w:proofErr w:type="spellEnd"/>
      <w:r w:rsidRPr="0049032D">
        <w:rPr>
          <w:rFonts w:eastAsia="Times New Roman"/>
          <w:b/>
          <w:color w:val="auto"/>
          <w:sz w:val="20"/>
          <w:szCs w:val="20"/>
          <w:lang w:val="en-AU"/>
        </w:rPr>
        <w:t xml:space="preserve"> </w:t>
      </w:r>
      <w:proofErr w:type="spellStart"/>
      <w:r w:rsidRPr="0049032D">
        <w:rPr>
          <w:rFonts w:eastAsia="Times New Roman"/>
          <w:b/>
          <w:color w:val="auto"/>
          <w:sz w:val="20"/>
          <w:szCs w:val="20"/>
          <w:lang w:val="en-AU"/>
        </w:rPr>
        <w:t>aegyptiaca</w:t>
      </w:r>
      <w:proofErr w:type="spellEnd"/>
      <w:r w:rsidRPr="0049032D">
        <w:rPr>
          <w:rFonts w:eastAsia="Times New Roman"/>
          <w:b/>
          <w:color w:val="auto"/>
          <w:sz w:val="20"/>
          <w:szCs w:val="20"/>
          <w:lang w:val="en-AU"/>
        </w:rPr>
        <w:t xml:space="preserve"> </w:t>
      </w:r>
      <w:proofErr w:type="spellStart"/>
      <w:r>
        <w:rPr>
          <w:rFonts w:eastAsia="Times New Roman"/>
          <w:b/>
          <w:color w:val="auto"/>
          <w:sz w:val="20"/>
          <w:szCs w:val="20"/>
          <w:lang w:val="en-AU"/>
        </w:rPr>
        <w:t>b</w:t>
      </w:r>
      <w:r w:rsidRPr="0049032D">
        <w:rPr>
          <w:rFonts w:eastAsia="Times New Roman"/>
          <w:b/>
          <w:color w:val="auto"/>
          <w:sz w:val="20"/>
          <w:szCs w:val="20"/>
          <w:lang w:val="en-AU"/>
        </w:rPr>
        <w:t>ioactives</w:t>
      </w:r>
      <w:proofErr w:type="spellEnd"/>
      <w:r w:rsidRPr="0049032D">
        <w:rPr>
          <w:rFonts w:eastAsia="Times New Roman"/>
          <w:b/>
          <w:color w:val="auto"/>
          <w:sz w:val="20"/>
          <w:szCs w:val="20"/>
          <w:lang w:val="en-AU"/>
        </w:rPr>
        <w:t xml:space="preserve"> </w:t>
      </w:r>
      <w:r>
        <w:rPr>
          <w:rFonts w:eastAsia="Times New Roman"/>
          <w:b/>
          <w:color w:val="auto"/>
          <w:sz w:val="20"/>
          <w:szCs w:val="20"/>
          <w:lang w:val="en-AU"/>
        </w:rPr>
        <w:t>o</w:t>
      </w:r>
      <w:r w:rsidRPr="0049032D">
        <w:rPr>
          <w:rFonts w:eastAsia="Times New Roman"/>
          <w:b/>
          <w:color w:val="auto"/>
          <w:sz w:val="20"/>
          <w:szCs w:val="20"/>
          <w:lang w:val="en-AU"/>
        </w:rPr>
        <w:t xml:space="preserve">utperform </w:t>
      </w:r>
      <w:r>
        <w:rPr>
          <w:rFonts w:eastAsia="Times New Roman"/>
          <w:b/>
          <w:color w:val="auto"/>
          <w:sz w:val="20"/>
          <w:szCs w:val="20"/>
          <w:lang w:val="en-AU"/>
        </w:rPr>
        <w:t>o</w:t>
      </w:r>
      <w:r w:rsidRPr="0049032D">
        <w:rPr>
          <w:rFonts w:eastAsia="Times New Roman"/>
          <w:b/>
          <w:color w:val="auto"/>
          <w:sz w:val="20"/>
          <w:szCs w:val="20"/>
          <w:lang w:val="en-AU"/>
        </w:rPr>
        <w:t xml:space="preserve">meprazole in </w:t>
      </w:r>
      <w:r>
        <w:rPr>
          <w:rFonts w:eastAsia="Times New Roman"/>
          <w:b/>
          <w:color w:val="auto"/>
          <w:sz w:val="20"/>
          <w:szCs w:val="20"/>
          <w:lang w:val="en-AU"/>
        </w:rPr>
        <w:t>a</w:t>
      </w:r>
      <w:r w:rsidRPr="0049032D">
        <w:rPr>
          <w:rFonts w:eastAsia="Times New Roman"/>
          <w:b/>
          <w:color w:val="auto"/>
          <w:sz w:val="20"/>
          <w:szCs w:val="20"/>
          <w:lang w:val="en-AU"/>
        </w:rPr>
        <w:t xml:space="preserve">ntiulcer </w:t>
      </w:r>
      <w:r>
        <w:rPr>
          <w:rFonts w:eastAsia="Times New Roman"/>
          <w:b/>
          <w:color w:val="auto"/>
          <w:sz w:val="20"/>
          <w:szCs w:val="20"/>
          <w:lang w:val="en-AU"/>
        </w:rPr>
        <w:t>m</w:t>
      </w:r>
      <w:r w:rsidRPr="0049032D">
        <w:rPr>
          <w:rFonts w:eastAsia="Times New Roman"/>
          <w:b/>
          <w:color w:val="auto"/>
          <w:sz w:val="20"/>
          <w:szCs w:val="20"/>
          <w:lang w:val="en-AU"/>
        </w:rPr>
        <w:t>echanisms</w:t>
      </w:r>
    </w:p>
    <w:bookmarkEnd w:id="0"/>
    <w:p w14:paraId="1396584B" w14:textId="456075E6" w:rsidR="0049032D" w:rsidRPr="004E5450" w:rsidRDefault="0049032D" w:rsidP="0049032D">
      <w:pPr>
        <w:pStyle w:val="Default"/>
        <w:jc w:val="both"/>
        <w:rPr>
          <w:color w:val="auto"/>
          <w:sz w:val="20"/>
          <w:szCs w:val="20"/>
          <w:lang w:val="en-AU"/>
        </w:rPr>
      </w:pPr>
      <w:proofErr w:type="spellStart"/>
      <w:r w:rsidRPr="0075514C">
        <w:rPr>
          <w:rFonts w:eastAsia="Times New Roman"/>
          <w:color w:val="auto"/>
          <w:sz w:val="20"/>
          <w:szCs w:val="20"/>
          <w:lang w:val="en-AU"/>
        </w:rPr>
        <w:t>Chinenye</w:t>
      </w:r>
      <w:proofErr w:type="spellEnd"/>
      <w:r w:rsidRPr="0075514C">
        <w:rPr>
          <w:rFonts w:eastAsia="Times New Roman"/>
          <w:color w:val="auto"/>
          <w:sz w:val="20"/>
          <w:szCs w:val="20"/>
          <w:lang w:val="en-AU"/>
        </w:rPr>
        <w:t xml:space="preserve"> J Ugwah-Oguejiofor</w:t>
      </w:r>
      <w:r w:rsidRPr="0075514C">
        <w:rPr>
          <w:rFonts w:eastAsia="Times New Roman"/>
          <w:color w:val="auto"/>
          <w:sz w:val="20"/>
          <w:szCs w:val="20"/>
          <w:vertAlign w:val="superscript"/>
          <w:lang w:val="en-AU"/>
        </w:rPr>
        <w:t>1</w:t>
      </w:r>
      <w:r w:rsidRPr="0075514C">
        <w:rPr>
          <w:rFonts w:eastAsia="Times New Roman"/>
          <w:color w:val="auto"/>
          <w:sz w:val="20"/>
          <w:szCs w:val="20"/>
          <w:lang w:val="en-AU"/>
        </w:rPr>
        <w:t xml:space="preserve">, </w:t>
      </w:r>
      <w:proofErr w:type="spellStart"/>
      <w:r>
        <w:rPr>
          <w:rFonts w:eastAsia="Times New Roman"/>
          <w:color w:val="auto"/>
          <w:sz w:val="20"/>
          <w:szCs w:val="20"/>
          <w:lang w:val="en-AU"/>
        </w:rPr>
        <w:t>Oguejiofor</w:t>
      </w:r>
      <w:proofErr w:type="spellEnd"/>
      <w:r>
        <w:rPr>
          <w:rFonts w:eastAsia="Times New Roman"/>
          <w:color w:val="auto"/>
          <w:sz w:val="20"/>
          <w:szCs w:val="20"/>
          <w:lang w:val="en-AU"/>
        </w:rPr>
        <w:t xml:space="preserve"> M. Ugwah</w:t>
      </w:r>
      <w:r w:rsidRPr="0049032D">
        <w:rPr>
          <w:rFonts w:eastAsia="Times New Roman"/>
          <w:color w:val="auto"/>
          <w:sz w:val="20"/>
          <w:szCs w:val="20"/>
          <w:vertAlign w:val="superscript"/>
          <w:lang w:val="en-AU"/>
        </w:rPr>
        <w:t>2</w:t>
      </w:r>
      <w:r>
        <w:rPr>
          <w:rFonts w:eastAsia="Times New Roman"/>
          <w:color w:val="auto"/>
          <w:sz w:val="20"/>
          <w:szCs w:val="20"/>
          <w:vertAlign w:val="superscript"/>
          <w:lang w:val="en-AU"/>
        </w:rPr>
        <w:t xml:space="preserve"> </w:t>
      </w:r>
      <w:r w:rsidRPr="0075514C">
        <w:rPr>
          <w:rFonts w:eastAsia="Times New Roman"/>
          <w:color w:val="auto"/>
          <w:sz w:val="20"/>
          <w:szCs w:val="20"/>
          <w:lang w:val="en-AU"/>
        </w:rPr>
        <w:t xml:space="preserve">Dept of </w:t>
      </w:r>
      <w:proofErr w:type="spellStart"/>
      <w:r w:rsidRPr="0075514C">
        <w:rPr>
          <w:rFonts w:eastAsia="Times New Roman"/>
          <w:color w:val="auto"/>
          <w:sz w:val="20"/>
          <w:szCs w:val="20"/>
          <w:lang w:val="en-AU"/>
        </w:rPr>
        <w:t>Pharmacol</w:t>
      </w:r>
      <w:proofErr w:type="spellEnd"/>
      <w:r w:rsidRPr="0075514C">
        <w:rPr>
          <w:rFonts w:eastAsia="Times New Roman"/>
          <w:color w:val="auto"/>
          <w:sz w:val="20"/>
          <w:szCs w:val="20"/>
          <w:lang w:val="en-AU"/>
        </w:rPr>
        <w:t xml:space="preserve"> &amp; </w:t>
      </w:r>
      <w:proofErr w:type="spellStart"/>
      <w:r w:rsidRPr="0075514C">
        <w:rPr>
          <w:rFonts w:eastAsia="Times New Roman"/>
          <w:color w:val="auto"/>
          <w:sz w:val="20"/>
          <w:szCs w:val="20"/>
          <w:lang w:val="en-AU"/>
        </w:rPr>
        <w:t>Toxicol</w:t>
      </w:r>
      <w:proofErr w:type="spellEnd"/>
      <w:r w:rsidRPr="0075514C">
        <w:rPr>
          <w:rFonts w:eastAsia="Times New Roman"/>
          <w:color w:val="auto"/>
          <w:sz w:val="20"/>
          <w:szCs w:val="20"/>
          <w:lang w:val="en-AU"/>
        </w:rPr>
        <w:t>,</w:t>
      </w:r>
      <w:r>
        <w:rPr>
          <w:rFonts w:eastAsia="Times New Roman"/>
          <w:color w:val="auto"/>
          <w:sz w:val="20"/>
          <w:szCs w:val="20"/>
          <w:lang w:val="en-AU"/>
        </w:rPr>
        <w:t xml:space="preserve"> </w:t>
      </w:r>
      <w:proofErr w:type="spellStart"/>
      <w:r w:rsidRPr="0075514C">
        <w:rPr>
          <w:rFonts w:eastAsia="Times New Roman"/>
          <w:color w:val="auto"/>
          <w:sz w:val="20"/>
          <w:szCs w:val="20"/>
          <w:lang w:val="en-AU"/>
        </w:rPr>
        <w:t>U</w:t>
      </w:r>
      <w:r>
        <w:rPr>
          <w:rFonts w:eastAsia="Times New Roman"/>
          <w:color w:val="auto"/>
          <w:sz w:val="20"/>
          <w:szCs w:val="20"/>
          <w:lang w:val="en-AU"/>
        </w:rPr>
        <w:t>smanu</w:t>
      </w:r>
      <w:proofErr w:type="spellEnd"/>
      <w:r>
        <w:rPr>
          <w:rFonts w:eastAsia="Times New Roman"/>
          <w:color w:val="auto"/>
          <w:sz w:val="20"/>
          <w:szCs w:val="20"/>
          <w:lang w:val="en-AU"/>
        </w:rPr>
        <w:t xml:space="preserve"> </w:t>
      </w:r>
      <w:proofErr w:type="spellStart"/>
      <w:r>
        <w:rPr>
          <w:rFonts w:eastAsia="Times New Roman"/>
          <w:color w:val="auto"/>
          <w:sz w:val="20"/>
          <w:szCs w:val="20"/>
          <w:lang w:val="en-AU"/>
        </w:rPr>
        <w:t>Danfodiyo</w:t>
      </w:r>
      <w:proofErr w:type="spellEnd"/>
      <w:r>
        <w:rPr>
          <w:rFonts w:eastAsia="Times New Roman"/>
          <w:color w:val="auto"/>
          <w:sz w:val="20"/>
          <w:szCs w:val="20"/>
          <w:lang w:val="en-AU"/>
        </w:rPr>
        <w:t xml:space="preserve"> Univ, Sokoto</w:t>
      </w:r>
      <w:r w:rsidRPr="0075514C">
        <w:rPr>
          <w:rFonts w:eastAsia="Times New Roman"/>
          <w:color w:val="auto"/>
          <w:sz w:val="20"/>
          <w:szCs w:val="20"/>
          <w:lang w:val="en-AU"/>
        </w:rPr>
        <w:t>, Nigeria</w:t>
      </w:r>
      <w:r w:rsidRPr="0075514C">
        <w:rPr>
          <w:rFonts w:eastAsia="Times New Roman"/>
          <w:color w:val="auto"/>
          <w:sz w:val="20"/>
          <w:szCs w:val="20"/>
          <w:vertAlign w:val="superscript"/>
          <w:lang w:val="en-AU"/>
        </w:rPr>
        <w:t>1</w:t>
      </w:r>
      <w:r w:rsidRPr="0075514C">
        <w:rPr>
          <w:rFonts w:eastAsia="Times New Roman"/>
          <w:color w:val="auto"/>
          <w:sz w:val="20"/>
          <w:szCs w:val="20"/>
          <w:lang w:val="en-AU"/>
        </w:rPr>
        <w:t>, Dept of Pharma</w:t>
      </w:r>
      <w:r>
        <w:rPr>
          <w:rFonts w:eastAsia="Times New Roman"/>
          <w:color w:val="auto"/>
          <w:sz w:val="20"/>
          <w:szCs w:val="20"/>
          <w:lang w:val="en-AU"/>
        </w:rPr>
        <w:t>cy</w:t>
      </w:r>
      <w:r w:rsidRPr="0075514C">
        <w:rPr>
          <w:rFonts w:eastAsia="Times New Roman"/>
          <w:color w:val="auto"/>
          <w:sz w:val="20"/>
          <w:szCs w:val="20"/>
          <w:lang w:val="en-AU"/>
        </w:rPr>
        <w:t xml:space="preserve">, </w:t>
      </w:r>
      <w:proofErr w:type="spellStart"/>
      <w:r w:rsidRPr="0075514C">
        <w:rPr>
          <w:rFonts w:eastAsia="Times New Roman"/>
          <w:color w:val="auto"/>
          <w:sz w:val="20"/>
          <w:szCs w:val="20"/>
          <w:lang w:val="en-AU"/>
        </w:rPr>
        <w:t>U</w:t>
      </w:r>
      <w:r>
        <w:rPr>
          <w:rFonts w:eastAsia="Times New Roman"/>
          <w:color w:val="auto"/>
          <w:sz w:val="20"/>
          <w:szCs w:val="20"/>
          <w:lang w:val="en-AU"/>
        </w:rPr>
        <w:t>smanu</w:t>
      </w:r>
      <w:proofErr w:type="spellEnd"/>
      <w:r>
        <w:rPr>
          <w:rFonts w:eastAsia="Times New Roman"/>
          <w:color w:val="auto"/>
          <w:sz w:val="20"/>
          <w:szCs w:val="20"/>
          <w:lang w:val="en-AU"/>
        </w:rPr>
        <w:t xml:space="preserve"> </w:t>
      </w:r>
      <w:proofErr w:type="spellStart"/>
      <w:r>
        <w:rPr>
          <w:rFonts w:eastAsia="Times New Roman"/>
          <w:color w:val="auto"/>
          <w:sz w:val="20"/>
          <w:szCs w:val="20"/>
          <w:lang w:val="en-AU"/>
        </w:rPr>
        <w:t>Danfodiyo</w:t>
      </w:r>
      <w:proofErr w:type="spellEnd"/>
      <w:r>
        <w:rPr>
          <w:rFonts w:eastAsia="Times New Roman"/>
          <w:color w:val="auto"/>
          <w:sz w:val="20"/>
          <w:szCs w:val="20"/>
          <w:lang w:val="en-AU"/>
        </w:rPr>
        <w:t xml:space="preserve"> Univ Teaching Hosp Sokoto</w:t>
      </w:r>
      <w:r w:rsidRPr="0075514C">
        <w:rPr>
          <w:rFonts w:eastAsia="Times New Roman"/>
          <w:color w:val="auto"/>
          <w:sz w:val="20"/>
          <w:szCs w:val="20"/>
          <w:lang w:val="en-AU"/>
        </w:rPr>
        <w:t>, Nigeria</w:t>
      </w:r>
      <w:r w:rsidRPr="0075514C">
        <w:rPr>
          <w:rFonts w:eastAsia="Times New Roman"/>
          <w:color w:val="auto"/>
          <w:sz w:val="20"/>
          <w:szCs w:val="20"/>
          <w:vertAlign w:val="superscript"/>
          <w:lang w:val="en-AU"/>
        </w:rPr>
        <w:t>2</w:t>
      </w:r>
      <w:r w:rsidRPr="004E5450">
        <w:rPr>
          <w:i/>
          <w:color w:val="auto"/>
          <w:sz w:val="20"/>
          <w:szCs w:val="20"/>
        </w:rPr>
        <w:t xml:space="preserve"> </w:t>
      </w:r>
    </w:p>
    <w:p w14:paraId="58F1A540" w14:textId="77777777" w:rsidR="000E1ABB" w:rsidRPr="000E1ABB" w:rsidRDefault="000E1ABB" w:rsidP="000E1ABB">
      <w:pPr>
        <w:jc w:val="both"/>
        <w:rPr>
          <w:rFonts w:ascii="Calibri" w:hAnsi="Calibri" w:cs="Calibri"/>
          <w:b/>
          <w:bCs/>
          <w:sz w:val="20"/>
          <w:szCs w:val="20"/>
          <w:lang w:val="en-AU"/>
        </w:rPr>
      </w:pPr>
      <w:r w:rsidRPr="000E1ABB">
        <w:rPr>
          <w:rFonts w:ascii="Calibri" w:hAnsi="Calibri" w:cs="Calibri"/>
          <w:b/>
          <w:bCs/>
          <w:sz w:val="20"/>
          <w:szCs w:val="20"/>
          <w:lang w:val="en-AU"/>
        </w:rPr>
        <w:t>Introduction</w:t>
      </w:r>
    </w:p>
    <w:p w14:paraId="495D7BB7" w14:textId="77777777" w:rsidR="000E1ABB" w:rsidRPr="000E1ABB" w:rsidRDefault="000E1ABB" w:rsidP="000E1ABB">
      <w:pPr>
        <w:jc w:val="both"/>
        <w:rPr>
          <w:rFonts w:ascii="Calibri" w:hAnsi="Calibri" w:cs="Calibri"/>
          <w:sz w:val="20"/>
          <w:szCs w:val="20"/>
          <w:lang w:val="en-AU"/>
        </w:rPr>
      </w:pPr>
      <w:proofErr w:type="spellStart"/>
      <w:r w:rsidRPr="000E1ABB">
        <w:rPr>
          <w:rFonts w:ascii="Calibri" w:hAnsi="Calibri" w:cs="Calibri"/>
          <w:sz w:val="20"/>
          <w:szCs w:val="20"/>
          <w:lang w:val="en-AU"/>
        </w:rPr>
        <w:t>Balanites</w:t>
      </w:r>
      <w:proofErr w:type="spellEnd"/>
      <w:r w:rsidRPr="000E1ABB">
        <w:rPr>
          <w:rFonts w:ascii="Calibri" w:hAnsi="Calibri" w:cs="Calibri"/>
          <w:sz w:val="20"/>
          <w:szCs w:val="20"/>
          <w:lang w:val="en-AU"/>
        </w:rPr>
        <w:t xml:space="preserve"> </w:t>
      </w:r>
      <w:proofErr w:type="spellStart"/>
      <w:r w:rsidRPr="000E1ABB">
        <w:rPr>
          <w:rFonts w:ascii="Calibri" w:hAnsi="Calibri" w:cs="Calibri"/>
          <w:sz w:val="20"/>
          <w:szCs w:val="20"/>
          <w:lang w:val="en-AU"/>
        </w:rPr>
        <w:t>aegyptiaca</w:t>
      </w:r>
      <w:proofErr w:type="spellEnd"/>
      <w:r w:rsidRPr="000E1ABB">
        <w:rPr>
          <w:rFonts w:ascii="Calibri" w:hAnsi="Calibri" w:cs="Calibri"/>
          <w:sz w:val="20"/>
          <w:szCs w:val="20"/>
          <w:lang w:val="en-AU"/>
        </w:rPr>
        <w:t xml:space="preserve"> L. (</w:t>
      </w:r>
      <w:proofErr w:type="spellStart"/>
      <w:r w:rsidRPr="000E1ABB">
        <w:rPr>
          <w:rFonts w:ascii="Calibri" w:hAnsi="Calibri" w:cs="Calibri"/>
          <w:sz w:val="20"/>
          <w:szCs w:val="20"/>
          <w:lang w:val="en-AU"/>
        </w:rPr>
        <w:t>Zygophyllaceae</w:t>
      </w:r>
      <w:proofErr w:type="spellEnd"/>
      <w:r w:rsidRPr="000E1ABB">
        <w:rPr>
          <w:rFonts w:ascii="Calibri" w:hAnsi="Calibri" w:cs="Calibri"/>
          <w:sz w:val="20"/>
          <w:szCs w:val="20"/>
          <w:lang w:val="en-AU"/>
        </w:rPr>
        <w:t xml:space="preserve">) is used extensively in Nigeria for the treatment of ulcers. The compound responsible for its antiulcer activities remains unclear. </w:t>
      </w:r>
    </w:p>
    <w:p w14:paraId="225FF1CD" w14:textId="77777777" w:rsidR="000E1ABB" w:rsidRPr="000E1ABB" w:rsidRDefault="000E1ABB" w:rsidP="000E1ABB">
      <w:pPr>
        <w:jc w:val="both"/>
        <w:rPr>
          <w:rFonts w:ascii="Calibri" w:hAnsi="Calibri" w:cs="Calibri"/>
          <w:b/>
          <w:bCs/>
          <w:sz w:val="20"/>
          <w:szCs w:val="20"/>
          <w:lang w:val="en-AU"/>
        </w:rPr>
      </w:pPr>
      <w:r w:rsidRPr="000E1ABB">
        <w:rPr>
          <w:rFonts w:ascii="Calibri" w:hAnsi="Calibri" w:cs="Calibri"/>
          <w:b/>
          <w:bCs/>
          <w:sz w:val="20"/>
          <w:szCs w:val="20"/>
          <w:lang w:val="en-AU"/>
        </w:rPr>
        <w:t>Aim</w:t>
      </w:r>
    </w:p>
    <w:p w14:paraId="55CC028A" w14:textId="77777777" w:rsidR="000E1ABB" w:rsidRPr="000E1ABB" w:rsidRDefault="000E1ABB" w:rsidP="000E1ABB">
      <w:pPr>
        <w:jc w:val="both"/>
        <w:rPr>
          <w:rFonts w:ascii="Calibri" w:hAnsi="Calibri" w:cs="Calibri"/>
          <w:sz w:val="20"/>
          <w:szCs w:val="20"/>
          <w:lang w:val="en-AU"/>
        </w:rPr>
      </w:pPr>
      <w:r w:rsidRPr="000E1ABB">
        <w:rPr>
          <w:rFonts w:ascii="Calibri" w:hAnsi="Calibri" w:cs="Calibri"/>
          <w:sz w:val="20"/>
          <w:szCs w:val="20"/>
          <w:lang w:val="en-AU"/>
        </w:rPr>
        <w:t xml:space="preserve">In this study, we investigated the antiulcer activity of the n-butanol fraction of </w:t>
      </w:r>
      <w:proofErr w:type="spellStart"/>
      <w:r w:rsidRPr="000E1ABB">
        <w:rPr>
          <w:rFonts w:ascii="Calibri" w:hAnsi="Calibri" w:cs="Calibri"/>
          <w:sz w:val="20"/>
          <w:szCs w:val="20"/>
          <w:lang w:val="en-AU"/>
        </w:rPr>
        <w:t>Balanites</w:t>
      </w:r>
      <w:proofErr w:type="spellEnd"/>
      <w:r w:rsidRPr="000E1ABB">
        <w:rPr>
          <w:rFonts w:ascii="Calibri" w:hAnsi="Calibri" w:cs="Calibri"/>
          <w:sz w:val="20"/>
          <w:szCs w:val="20"/>
          <w:lang w:val="en-AU"/>
        </w:rPr>
        <w:t xml:space="preserve"> </w:t>
      </w:r>
      <w:proofErr w:type="spellStart"/>
      <w:r w:rsidRPr="000E1ABB">
        <w:rPr>
          <w:rFonts w:ascii="Calibri" w:hAnsi="Calibri" w:cs="Calibri"/>
          <w:sz w:val="20"/>
          <w:szCs w:val="20"/>
          <w:lang w:val="en-AU"/>
        </w:rPr>
        <w:t>aegyptiaca</w:t>
      </w:r>
      <w:proofErr w:type="spellEnd"/>
      <w:r w:rsidRPr="000E1ABB">
        <w:rPr>
          <w:rFonts w:ascii="Calibri" w:hAnsi="Calibri" w:cs="Calibri"/>
          <w:sz w:val="20"/>
          <w:szCs w:val="20"/>
          <w:lang w:val="en-AU"/>
        </w:rPr>
        <w:t xml:space="preserve"> (BA) in vivo and the possible antiulcer mechanism of its compounds through in silico molecular docking and ADMET studies.</w:t>
      </w:r>
    </w:p>
    <w:p w14:paraId="0E8A4366" w14:textId="77777777" w:rsidR="000E1ABB" w:rsidRPr="000E1ABB" w:rsidRDefault="000E1ABB" w:rsidP="000E1ABB">
      <w:pPr>
        <w:jc w:val="both"/>
        <w:rPr>
          <w:rFonts w:ascii="Calibri" w:hAnsi="Calibri" w:cs="Calibri"/>
          <w:b/>
          <w:bCs/>
          <w:sz w:val="20"/>
          <w:szCs w:val="20"/>
          <w:lang w:val="en-AU"/>
        </w:rPr>
      </w:pPr>
      <w:r w:rsidRPr="000E1ABB">
        <w:rPr>
          <w:rFonts w:ascii="Calibri" w:hAnsi="Calibri" w:cs="Calibri"/>
          <w:b/>
          <w:bCs/>
          <w:sz w:val="20"/>
          <w:szCs w:val="20"/>
          <w:lang w:val="en-AU"/>
        </w:rPr>
        <w:t>Methods</w:t>
      </w:r>
    </w:p>
    <w:p w14:paraId="69485CAB" w14:textId="77777777" w:rsidR="000E1ABB" w:rsidRPr="000E1ABB" w:rsidRDefault="000E1ABB" w:rsidP="000E1ABB">
      <w:pPr>
        <w:jc w:val="both"/>
        <w:rPr>
          <w:rFonts w:ascii="Calibri" w:hAnsi="Calibri" w:cs="Calibri"/>
          <w:sz w:val="20"/>
          <w:szCs w:val="20"/>
          <w:lang w:val="en-AU"/>
        </w:rPr>
      </w:pPr>
      <w:r w:rsidRPr="000E1ABB">
        <w:rPr>
          <w:rFonts w:ascii="Calibri" w:hAnsi="Calibri" w:cs="Calibri"/>
          <w:sz w:val="20"/>
          <w:szCs w:val="20"/>
          <w:lang w:val="en-AU"/>
        </w:rPr>
        <w:t>Antiulcer activity of BA was evaluated against ethanol and indomethacin-induced ulcer models in rats. The fraction was subjected to gas chromatography-mass spectrometry (GC–MS) analysis to identify its phytochemical constituents. Molecular docking of the compounds against three target proteins namely M3 Muscarinic acetylcholine receptor (MAR), gastric proton pump (GPP) and pig gastric H, K-ATPase (PGHKA) and ADMET studies on selected compounds were performed.</w:t>
      </w:r>
    </w:p>
    <w:p w14:paraId="18180A4E" w14:textId="77777777" w:rsidR="000E1ABB" w:rsidRPr="000E1ABB" w:rsidRDefault="000E1ABB" w:rsidP="000E1ABB">
      <w:pPr>
        <w:jc w:val="both"/>
        <w:rPr>
          <w:rFonts w:ascii="Calibri" w:hAnsi="Calibri" w:cs="Calibri"/>
          <w:b/>
          <w:bCs/>
          <w:sz w:val="20"/>
          <w:szCs w:val="20"/>
          <w:lang w:val="en-AU"/>
        </w:rPr>
      </w:pPr>
      <w:r w:rsidRPr="000E1ABB">
        <w:rPr>
          <w:rFonts w:ascii="Calibri" w:hAnsi="Calibri" w:cs="Calibri"/>
          <w:b/>
          <w:bCs/>
          <w:sz w:val="20"/>
          <w:szCs w:val="20"/>
          <w:lang w:val="en-AU"/>
        </w:rPr>
        <w:t>Results and Discussion</w:t>
      </w:r>
    </w:p>
    <w:p w14:paraId="17D13920" w14:textId="314F55FF" w:rsidR="0049032D" w:rsidRPr="000E1ABB" w:rsidRDefault="000E1ABB" w:rsidP="000E1ABB">
      <w:pPr>
        <w:jc w:val="both"/>
        <w:rPr>
          <w:rFonts w:ascii="Calibri" w:hAnsi="Calibri" w:cs="Calibri"/>
          <w:sz w:val="20"/>
          <w:szCs w:val="20"/>
          <w:lang w:val="en-AU"/>
        </w:rPr>
      </w:pPr>
      <w:r w:rsidRPr="000E1ABB">
        <w:rPr>
          <w:rFonts w:ascii="Calibri" w:hAnsi="Calibri" w:cs="Calibri"/>
          <w:sz w:val="20"/>
          <w:szCs w:val="20"/>
          <w:lang w:val="en-AU"/>
        </w:rPr>
        <w:t xml:space="preserve">In vivo evaluation using ethanol- and indomethacin-induced ulcer models demonstrated that the n-butanol fraction of BA produced a dose-dependent decrease in mean ulcer scores, with effects significantly (p&lt;0.05) lower than the control group. This confirms the antiulcer potential of BA and supports its traditional use in ulcer management. GC–MS analysis identified 17 distinct phytochemical compounds within the fraction, suggesting a rich profile of bioactive constituents that may contribute synergistically to its pharmacological effects. Among these, </w:t>
      </w:r>
      <w:proofErr w:type="spellStart"/>
      <w:r w:rsidRPr="000E1ABB">
        <w:rPr>
          <w:rFonts w:ascii="Calibri" w:hAnsi="Calibri" w:cs="Calibri"/>
          <w:sz w:val="20"/>
          <w:szCs w:val="20"/>
          <w:lang w:val="en-AU"/>
        </w:rPr>
        <w:t>hexestrol</w:t>
      </w:r>
      <w:proofErr w:type="spellEnd"/>
      <w:r w:rsidRPr="000E1ABB">
        <w:rPr>
          <w:rFonts w:ascii="Calibri" w:hAnsi="Calibri" w:cs="Calibri"/>
          <w:sz w:val="20"/>
          <w:szCs w:val="20"/>
          <w:lang w:val="en-AU"/>
        </w:rPr>
        <w:t xml:space="preserve"> and acetovanillone emerged as notable candidates. Molecular docking studies further revealed strong binding affinities of </w:t>
      </w:r>
      <w:proofErr w:type="spellStart"/>
      <w:r w:rsidRPr="000E1ABB">
        <w:rPr>
          <w:rFonts w:ascii="Calibri" w:hAnsi="Calibri" w:cs="Calibri"/>
          <w:sz w:val="20"/>
          <w:szCs w:val="20"/>
          <w:lang w:val="en-AU"/>
        </w:rPr>
        <w:t>hexestrol</w:t>
      </w:r>
      <w:proofErr w:type="spellEnd"/>
      <w:r w:rsidRPr="000E1ABB">
        <w:rPr>
          <w:rFonts w:ascii="Calibri" w:hAnsi="Calibri" w:cs="Calibri"/>
          <w:sz w:val="20"/>
          <w:szCs w:val="20"/>
          <w:lang w:val="en-AU"/>
        </w:rPr>
        <w:t xml:space="preserve"> to the MAR and PGHKA, with docking scores of –9.026 and –7.219 kcal/mol, respectively. These interactions were superior to those of omeprazole, the reference antiulcer drug (–5.292 and –6.19 kcal/mol). Such findings indicate that BA compounds may act through modulation of gastric acid secretion and mucosal protection pathways. ADMET predictions confirmed favourable pharmacokinetic and safety profiles for the selected compounds, strengthening their potential as drug leads. </w:t>
      </w:r>
    </w:p>
    <w:sectPr w:rsidR="0049032D" w:rsidRPr="000E1ABB" w:rsidSect="0075514C">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2D"/>
    <w:rsid w:val="00081C99"/>
    <w:rsid w:val="000E1ABB"/>
    <w:rsid w:val="0049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B4A28"/>
  <w15:chartTrackingRefBased/>
  <w15:docId w15:val="{A6C5ECC4-B1D4-4134-8AA7-7179C822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032D"/>
    <w:pPr>
      <w:widowControl w:val="0"/>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320</Words>
  <Characters>2038</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2025-09-15T16:43:00Z</dcterms:created>
  <dcterms:modified xsi:type="dcterms:W3CDTF">2025-09-15T17:00:00Z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2a44aa1d-ca46-4484-beeb-a93e7b253c50</vt:lpwstr>
  </property>
</Properties>
</file>