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EF29" w14:textId="77777777" w:rsidR="00F73CB8" w:rsidRPr="006A4665" w:rsidRDefault="00F73CB8" w:rsidP="0056407D">
      <w:pPr>
        <w:spacing w:after="0" w:line="240" w:lineRule="auto"/>
        <w:jc w:val="both"/>
        <w:rPr>
          <w:rFonts w:cstheme="minorHAnsi"/>
          <w:b/>
          <w:bCs/>
          <w:sz w:val="20"/>
          <w:szCs w:val="20"/>
        </w:rPr>
      </w:pPr>
      <w:r w:rsidRPr="006A4665">
        <w:rPr>
          <w:rFonts w:cstheme="minorHAnsi"/>
          <w:b/>
          <w:bCs/>
          <w:sz w:val="20"/>
          <w:szCs w:val="20"/>
        </w:rPr>
        <w:t xml:space="preserve">Palladium complexing boosts </w:t>
      </w:r>
      <w:r w:rsidRPr="006A4665">
        <w:rPr>
          <w:rFonts w:cstheme="minorHAnsi"/>
          <w:b/>
          <w:bCs/>
          <w:i/>
          <w:iCs/>
          <w:sz w:val="20"/>
          <w:szCs w:val="20"/>
        </w:rPr>
        <w:t xml:space="preserve">Staphylococcus hominis </w:t>
      </w:r>
      <w:r w:rsidRPr="006A4665">
        <w:rPr>
          <w:rFonts w:cstheme="minorHAnsi"/>
          <w:b/>
          <w:bCs/>
          <w:sz w:val="20"/>
          <w:szCs w:val="20"/>
        </w:rPr>
        <w:t>activity, whilst diminishing action against other bacteria</w:t>
      </w:r>
    </w:p>
    <w:p w14:paraId="7F3DA127" w14:textId="719E0C14" w:rsidR="006A0898" w:rsidRPr="006A4665" w:rsidRDefault="00F73CB8" w:rsidP="0056407D">
      <w:pPr>
        <w:spacing w:after="0" w:line="240" w:lineRule="auto"/>
        <w:rPr>
          <w:rFonts w:cstheme="minorHAnsi"/>
          <w:sz w:val="20"/>
          <w:szCs w:val="20"/>
        </w:rPr>
      </w:pPr>
      <w:r w:rsidRPr="006A4665">
        <w:rPr>
          <w:rFonts w:cstheme="minorHAnsi"/>
          <w:sz w:val="20"/>
          <w:szCs w:val="20"/>
        </w:rPr>
        <w:t>Ewura S. Yahaya</w:t>
      </w:r>
      <w:r w:rsidR="006A0898" w:rsidRPr="006A4665">
        <w:rPr>
          <w:rFonts w:cstheme="minorHAnsi"/>
          <w:sz w:val="20"/>
          <w:szCs w:val="20"/>
          <w:vertAlign w:val="superscript"/>
        </w:rPr>
        <w:t>1</w:t>
      </w:r>
      <w:r w:rsidRPr="006A4665">
        <w:rPr>
          <w:rFonts w:cstheme="minorHAnsi"/>
          <w:sz w:val="20"/>
          <w:szCs w:val="20"/>
        </w:rPr>
        <w:t xml:space="preserve">, </w:t>
      </w:r>
      <w:r w:rsidR="006A0898" w:rsidRPr="006A4665">
        <w:rPr>
          <w:rFonts w:cstheme="minorHAnsi"/>
          <w:sz w:val="20"/>
          <w:szCs w:val="20"/>
        </w:rPr>
        <w:t>Jesse A</w:t>
      </w:r>
      <w:r w:rsidR="006A0898" w:rsidRPr="006A4665">
        <w:rPr>
          <w:rFonts w:cstheme="minorHAnsi"/>
          <w:sz w:val="20"/>
          <w:szCs w:val="20"/>
        </w:rPr>
        <w:t>.</w:t>
      </w:r>
      <w:r w:rsidR="006A0898" w:rsidRPr="006A4665">
        <w:rPr>
          <w:rFonts w:cstheme="minorHAnsi"/>
          <w:sz w:val="20"/>
          <w:szCs w:val="20"/>
        </w:rPr>
        <w:t xml:space="preserve"> Anak</w:t>
      </w:r>
      <w:r w:rsidR="006A0898" w:rsidRPr="006A4665">
        <w:rPr>
          <w:rFonts w:cstheme="minorHAnsi"/>
          <w:sz w:val="20"/>
          <w:szCs w:val="20"/>
          <w:vertAlign w:val="superscript"/>
        </w:rPr>
        <w:t>2</w:t>
      </w:r>
      <w:r w:rsidR="006A0898" w:rsidRPr="006A4665">
        <w:rPr>
          <w:rFonts w:cstheme="minorHAnsi"/>
          <w:sz w:val="20"/>
          <w:szCs w:val="20"/>
        </w:rPr>
        <w:t>, Nana A</w:t>
      </w:r>
      <w:r w:rsidR="006A0898" w:rsidRPr="006A4665">
        <w:rPr>
          <w:rFonts w:cstheme="minorHAnsi"/>
          <w:sz w:val="20"/>
          <w:szCs w:val="20"/>
        </w:rPr>
        <w:t>.</w:t>
      </w:r>
      <w:r w:rsidR="006A0898" w:rsidRPr="006A4665">
        <w:rPr>
          <w:rFonts w:cstheme="minorHAnsi"/>
          <w:sz w:val="20"/>
          <w:szCs w:val="20"/>
        </w:rPr>
        <w:t xml:space="preserve"> Amissah</w:t>
      </w:r>
      <w:r w:rsidR="006A0898" w:rsidRPr="006A4665">
        <w:rPr>
          <w:rFonts w:cstheme="minorHAnsi"/>
          <w:sz w:val="20"/>
          <w:szCs w:val="20"/>
          <w:vertAlign w:val="superscript"/>
        </w:rPr>
        <w:t>3</w:t>
      </w:r>
      <w:r w:rsidR="006A0898" w:rsidRPr="006A4665">
        <w:rPr>
          <w:rFonts w:cstheme="minorHAnsi"/>
          <w:sz w:val="20"/>
          <w:szCs w:val="20"/>
        </w:rPr>
        <w:t>, Collins Obuah</w:t>
      </w:r>
      <w:r w:rsidR="006A0898" w:rsidRPr="006A4665">
        <w:rPr>
          <w:rFonts w:cstheme="minorHAnsi"/>
          <w:sz w:val="20"/>
          <w:szCs w:val="20"/>
          <w:vertAlign w:val="superscript"/>
        </w:rPr>
        <w:t>4</w:t>
      </w:r>
      <w:r w:rsidR="006A0898" w:rsidRPr="006A4665">
        <w:rPr>
          <w:rFonts w:cstheme="minorHAnsi"/>
          <w:sz w:val="20"/>
          <w:szCs w:val="20"/>
        </w:rPr>
        <w:t>, Phyllis Owusu-Adjei</w:t>
      </w:r>
      <w:r w:rsidR="006A0898" w:rsidRPr="006A4665">
        <w:rPr>
          <w:rFonts w:cstheme="minorHAnsi"/>
          <w:sz w:val="20"/>
          <w:szCs w:val="20"/>
          <w:vertAlign w:val="superscript"/>
        </w:rPr>
        <w:t>1</w:t>
      </w:r>
      <w:r w:rsidR="006A0898" w:rsidRPr="006A4665">
        <w:rPr>
          <w:rFonts w:cstheme="minorHAnsi"/>
          <w:sz w:val="20"/>
          <w:szCs w:val="20"/>
        </w:rPr>
        <w:t>, Roland O</w:t>
      </w:r>
      <w:r w:rsidR="006A0898" w:rsidRPr="006A4665">
        <w:rPr>
          <w:rFonts w:cstheme="minorHAnsi"/>
          <w:sz w:val="20"/>
          <w:szCs w:val="20"/>
        </w:rPr>
        <w:t>.</w:t>
      </w:r>
      <w:r w:rsidR="006A0898" w:rsidRPr="006A4665">
        <w:rPr>
          <w:rFonts w:cstheme="minorHAnsi"/>
          <w:sz w:val="20"/>
          <w:szCs w:val="20"/>
        </w:rPr>
        <w:t xml:space="preserve"> Saahene</w:t>
      </w:r>
      <w:r w:rsidR="006A0898" w:rsidRPr="006A4665">
        <w:rPr>
          <w:rFonts w:cstheme="minorHAnsi"/>
          <w:sz w:val="20"/>
          <w:szCs w:val="20"/>
          <w:vertAlign w:val="superscript"/>
        </w:rPr>
        <w:t>2</w:t>
      </w:r>
      <w:r w:rsidR="006A0898" w:rsidRPr="006A4665">
        <w:rPr>
          <w:rFonts w:cstheme="minorHAnsi"/>
          <w:sz w:val="20"/>
          <w:szCs w:val="20"/>
        </w:rPr>
        <w:t>, Michael Ainooson</w:t>
      </w:r>
      <w:r w:rsidR="006A0898" w:rsidRPr="006A4665">
        <w:rPr>
          <w:rFonts w:cstheme="minorHAnsi"/>
          <w:sz w:val="20"/>
          <w:szCs w:val="20"/>
          <w:vertAlign w:val="superscript"/>
        </w:rPr>
        <w:t>4</w:t>
      </w:r>
      <w:r w:rsidR="006A0898" w:rsidRPr="006A4665">
        <w:rPr>
          <w:rFonts w:cstheme="minorHAnsi"/>
          <w:sz w:val="20"/>
          <w:szCs w:val="20"/>
        </w:rPr>
        <w:t>, Anthony Ablordey</w:t>
      </w:r>
      <w:r w:rsidR="006A0898" w:rsidRPr="006A4665">
        <w:rPr>
          <w:rFonts w:cstheme="minorHAnsi"/>
          <w:sz w:val="20"/>
          <w:szCs w:val="20"/>
          <w:vertAlign w:val="superscript"/>
        </w:rPr>
        <w:t>3</w:t>
      </w:r>
      <w:r w:rsidR="006A0898" w:rsidRPr="006A4665">
        <w:rPr>
          <w:rFonts w:cstheme="minorHAnsi"/>
          <w:sz w:val="20"/>
          <w:szCs w:val="20"/>
        </w:rPr>
        <w:t>,</w:t>
      </w:r>
      <w:r w:rsidR="006A0898" w:rsidRPr="006A4665">
        <w:rPr>
          <w:rFonts w:cstheme="minorHAnsi"/>
          <w:sz w:val="20"/>
          <w:szCs w:val="20"/>
          <w:vertAlign w:val="superscript"/>
        </w:rPr>
        <w:t xml:space="preserve"> </w:t>
      </w:r>
      <w:r w:rsidR="006A0898" w:rsidRPr="006A4665">
        <w:rPr>
          <w:rFonts w:cstheme="minorHAnsi"/>
          <w:sz w:val="20"/>
          <w:szCs w:val="20"/>
        </w:rPr>
        <w:t>Martins Ekor</w:t>
      </w:r>
      <w:r w:rsidR="006A0898" w:rsidRPr="006A4665">
        <w:rPr>
          <w:rFonts w:cstheme="minorHAnsi"/>
          <w:sz w:val="20"/>
          <w:szCs w:val="20"/>
          <w:vertAlign w:val="superscript"/>
        </w:rPr>
        <w:t>1</w:t>
      </w:r>
      <w:r w:rsidR="009F7927" w:rsidRPr="006A4665">
        <w:rPr>
          <w:rFonts w:cstheme="minorHAnsi"/>
          <w:sz w:val="20"/>
          <w:szCs w:val="20"/>
        </w:rPr>
        <w:t xml:space="preserve">. </w:t>
      </w:r>
      <w:r w:rsidR="006A0898" w:rsidRPr="006A4665">
        <w:rPr>
          <w:rFonts w:cstheme="minorHAnsi"/>
          <w:sz w:val="20"/>
          <w:szCs w:val="20"/>
        </w:rPr>
        <w:t>Department of Pharmacology, School of Medical Sciences, College of Health and Allied Sciences, University of Cape Coast, Ghana</w:t>
      </w:r>
      <w:r w:rsidR="006A0898" w:rsidRPr="006A4665">
        <w:rPr>
          <w:rFonts w:cstheme="minorHAnsi"/>
          <w:sz w:val="20"/>
          <w:szCs w:val="20"/>
          <w:vertAlign w:val="superscript"/>
        </w:rPr>
        <w:t>1</w:t>
      </w:r>
      <w:r w:rsidR="006A0898" w:rsidRPr="006A4665">
        <w:rPr>
          <w:rFonts w:cstheme="minorHAnsi"/>
          <w:sz w:val="20"/>
          <w:szCs w:val="20"/>
        </w:rPr>
        <w:t xml:space="preserve">; </w:t>
      </w:r>
      <w:r w:rsidR="006A0898" w:rsidRPr="006A4665">
        <w:rPr>
          <w:rFonts w:cstheme="minorHAnsi"/>
          <w:sz w:val="20"/>
          <w:szCs w:val="20"/>
        </w:rPr>
        <w:t>Department of Microbiology and Immunology, School of Medical Sciences, College of Health and Allied Sciences, University of Cape Coast, Ghana</w:t>
      </w:r>
      <w:r w:rsidR="006A0898" w:rsidRPr="006A4665">
        <w:rPr>
          <w:rFonts w:cstheme="minorHAnsi"/>
          <w:sz w:val="20"/>
          <w:szCs w:val="20"/>
          <w:vertAlign w:val="superscript"/>
        </w:rPr>
        <w:t>2</w:t>
      </w:r>
      <w:r w:rsidR="006A0898" w:rsidRPr="006A4665">
        <w:rPr>
          <w:rFonts w:cstheme="minorHAnsi"/>
          <w:sz w:val="20"/>
          <w:szCs w:val="20"/>
        </w:rPr>
        <w:t xml:space="preserve">; </w:t>
      </w:r>
      <w:r w:rsidR="006A0898" w:rsidRPr="006A4665">
        <w:rPr>
          <w:rFonts w:cstheme="minorHAnsi"/>
          <w:sz w:val="20"/>
          <w:szCs w:val="20"/>
        </w:rPr>
        <w:t>Department of Bacteriology, Noguchi Memorial Institute for Medical Research, University of Ghana, Legon, Ghana</w:t>
      </w:r>
      <w:r w:rsidR="006A0898" w:rsidRPr="006A4665">
        <w:rPr>
          <w:rFonts w:cstheme="minorHAnsi"/>
          <w:sz w:val="20"/>
          <w:szCs w:val="20"/>
          <w:vertAlign w:val="superscript"/>
        </w:rPr>
        <w:t>3</w:t>
      </w:r>
      <w:r w:rsidR="006A0898" w:rsidRPr="006A4665">
        <w:rPr>
          <w:rFonts w:cstheme="minorHAnsi"/>
          <w:sz w:val="20"/>
          <w:szCs w:val="20"/>
        </w:rPr>
        <w:t>;</w:t>
      </w:r>
      <w:r w:rsidR="006A0898" w:rsidRPr="006A4665">
        <w:rPr>
          <w:rFonts w:cstheme="minorHAnsi"/>
          <w:sz w:val="20"/>
          <w:szCs w:val="20"/>
        </w:rPr>
        <w:t xml:space="preserve"> Department of Chemistry, University of Ghana, Legon, Ghana</w:t>
      </w:r>
      <w:r w:rsidR="006A0898" w:rsidRPr="006A4665">
        <w:rPr>
          <w:rFonts w:cstheme="minorHAnsi"/>
          <w:sz w:val="20"/>
          <w:szCs w:val="20"/>
          <w:vertAlign w:val="superscript"/>
        </w:rPr>
        <w:t>4</w:t>
      </w:r>
    </w:p>
    <w:p w14:paraId="0C046D3A" w14:textId="5ADE2A63" w:rsidR="00F73CB8" w:rsidRPr="006A4665" w:rsidRDefault="00F73CB8" w:rsidP="0056407D">
      <w:pPr>
        <w:spacing w:after="0" w:line="276" w:lineRule="auto"/>
        <w:jc w:val="both"/>
        <w:rPr>
          <w:rFonts w:cstheme="minorHAnsi"/>
          <w:sz w:val="20"/>
          <w:szCs w:val="20"/>
        </w:rPr>
      </w:pPr>
    </w:p>
    <w:p w14:paraId="57473944" w14:textId="04B526AA" w:rsidR="009F7927" w:rsidRPr="006A4665" w:rsidRDefault="009F7927" w:rsidP="0056407D">
      <w:pPr>
        <w:spacing w:after="0" w:line="276" w:lineRule="auto"/>
        <w:jc w:val="both"/>
        <w:rPr>
          <w:rFonts w:cstheme="minorHAnsi"/>
          <w:sz w:val="20"/>
          <w:szCs w:val="20"/>
        </w:rPr>
      </w:pPr>
      <w:r w:rsidRPr="006A4665">
        <w:rPr>
          <w:rFonts w:cstheme="minorHAnsi"/>
          <w:b/>
          <w:bCs/>
          <w:sz w:val="20"/>
          <w:szCs w:val="20"/>
        </w:rPr>
        <w:t>Introduction</w:t>
      </w:r>
      <w:r w:rsidR="00FD7E28" w:rsidRPr="006A4665">
        <w:rPr>
          <w:rFonts w:cstheme="minorHAnsi"/>
          <w:b/>
          <w:bCs/>
          <w:sz w:val="20"/>
          <w:szCs w:val="20"/>
        </w:rPr>
        <w:t>.</w:t>
      </w:r>
      <w:r w:rsidRPr="006A4665">
        <w:rPr>
          <w:rFonts w:cstheme="minorHAnsi"/>
          <w:sz w:val="20"/>
          <w:szCs w:val="20"/>
        </w:rPr>
        <w:t xml:space="preserve"> </w:t>
      </w:r>
      <w:r w:rsidR="00A723AC" w:rsidRPr="006A4665">
        <w:rPr>
          <w:rFonts w:cstheme="minorHAnsi"/>
          <w:sz w:val="20"/>
          <w:szCs w:val="20"/>
        </w:rPr>
        <w:t>Palladium (Pd) complexes have gained attention in drug development for their potential as therapeutic agents and as tools in chemical synthesis. Their unique chemical properties, including coordination flexibility and catalytic activity, make palladium complexes valuable in drug discovery.</w:t>
      </w:r>
      <w:r w:rsidR="000C0FB1" w:rsidRPr="006A4665">
        <w:rPr>
          <w:rFonts w:cstheme="minorHAnsi"/>
          <w:sz w:val="20"/>
          <w:szCs w:val="20"/>
        </w:rPr>
        <w:t xml:space="preserve"> </w:t>
      </w:r>
    </w:p>
    <w:p w14:paraId="7007657F" w14:textId="5DC829AD" w:rsidR="009F7927" w:rsidRPr="006A4665" w:rsidRDefault="009F7927" w:rsidP="0056407D">
      <w:pPr>
        <w:spacing w:after="0" w:line="276" w:lineRule="auto"/>
        <w:jc w:val="both"/>
        <w:rPr>
          <w:rFonts w:cstheme="minorHAnsi"/>
          <w:sz w:val="20"/>
          <w:szCs w:val="20"/>
        </w:rPr>
      </w:pPr>
      <w:r w:rsidRPr="006A4665">
        <w:rPr>
          <w:rFonts w:cstheme="minorHAnsi"/>
          <w:b/>
          <w:bCs/>
          <w:sz w:val="20"/>
          <w:szCs w:val="20"/>
        </w:rPr>
        <w:t>Aim</w:t>
      </w:r>
      <w:r w:rsidR="00FD7E28" w:rsidRPr="006A4665">
        <w:rPr>
          <w:rFonts w:cstheme="minorHAnsi"/>
          <w:b/>
          <w:bCs/>
          <w:sz w:val="20"/>
          <w:szCs w:val="20"/>
        </w:rPr>
        <w:t>.</w:t>
      </w:r>
      <w:r w:rsidRPr="006A4665">
        <w:rPr>
          <w:rFonts w:cstheme="minorHAnsi"/>
          <w:sz w:val="20"/>
          <w:szCs w:val="20"/>
        </w:rPr>
        <w:t xml:space="preserve"> </w:t>
      </w:r>
      <w:r w:rsidR="000C0FB1" w:rsidRPr="006A4665">
        <w:rPr>
          <w:rFonts w:cstheme="minorHAnsi"/>
          <w:sz w:val="20"/>
          <w:szCs w:val="20"/>
        </w:rPr>
        <w:t>Th</w:t>
      </w:r>
      <w:r w:rsidRPr="006A4665">
        <w:rPr>
          <w:rFonts w:cstheme="minorHAnsi"/>
          <w:sz w:val="20"/>
          <w:szCs w:val="20"/>
        </w:rPr>
        <w:t>is</w:t>
      </w:r>
      <w:r w:rsidR="000C0FB1" w:rsidRPr="006A4665">
        <w:rPr>
          <w:rFonts w:cstheme="minorHAnsi"/>
          <w:sz w:val="20"/>
          <w:szCs w:val="20"/>
        </w:rPr>
        <w:t xml:space="preserve"> study was aimed at assessing the antibacterial activity of some synthesized sulphonamide derivatives. </w:t>
      </w:r>
    </w:p>
    <w:p w14:paraId="407279EA" w14:textId="38C0B41A" w:rsidR="00617B9E" w:rsidRPr="006A4665" w:rsidRDefault="009F7927" w:rsidP="0056407D">
      <w:pPr>
        <w:spacing w:after="0" w:line="276" w:lineRule="auto"/>
        <w:jc w:val="both"/>
        <w:rPr>
          <w:rFonts w:cstheme="minorHAnsi"/>
          <w:sz w:val="20"/>
          <w:szCs w:val="20"/>
        </w:rPr>
      </w:pPr>
      <w:r w:rsidRPr="006A4665">
        <w:rPr>
          <w:rFonts w:cstheme="minorHAnsi"/>
          <w:b/>
          <w:bCs/>
          <w:sz w:val="20"/>
          <w:szCs w:val="20"/>
        </w:rPr>
        <w:t>Methods</w:t>
      </w:r>
      <w:r w:rsidR="00FD7E28" w:rsidRPr="006A4665">
        <w:rPr>
          <w:rFonts w:cstheme="minorHAnsi"/>
          <w:b/>
          <w:bCs/>
          <w:sz w:val="20"/>
          <w:szCs w:val="20"/>
        </w:rPr>
        <w:t>.</w:t>
      </w:r>
      <w:r w:rsidRPr="006A4665">
        <w:rPr>
          <w:rFonts w:cstheme="minorHAnsi"/>
          <w:sz w:val="20"/>
          <w:szCs w:val="20"/>
        </w:rPr>
        <w:t xml:space="preserve"> </w:t>
      </w:r>
      <w:r w:rsidR="00E655C0" w:rsidRPr="006A4665">
        <w:rPr>
          <w:rFonts w:eastAsia="Times New Roman" w:cstheme="minorHAnsi"/>
          <w:kern w:val="0"/>
          <w:sz w:val="20"/>
          <w:szCs w:val="20"/>
          <w:lang w:eastAsia="en-GB"/>
          <w14:ligatures w14:val="none"/>
        </w:rPr>
        <w:t>One single and t</w:t>
      </w:r>
      <w:r w:rsidR="00E105B5" w:rsidRPr="006A4665">
        <w:rPr>
          <w:rFonts w:eastAsia="Times New Roman" w:cstheme="minorHAnsi"/>
          <w:kern w:val="0"/>
          <w:sz w:val="20"/>
          <w:szCs w:val="20"/>
          <w:lang w:eastAsia="en-GB"/>
          <w14:ligatures w14:val="none"/>
        </w:rPr>
        <w:t>wo</w:t>
      </w:r>
      <w:r w:rsidR="00E655C0" w:rsidRPr="006A4665">
        <w:rPr>
          <w:rFonts w:eastAsia="Times New Roman" w:cstheme="minorHAnsi"/>
          <w:kern w:val="0"/>
          <w:sz w:val="20"/>
          <w:szCs w:val="20"/>
          <w:lang w:eastAsia="en-GB"/>
          <w14:ligatures w14:val="none"/>
        </w:rPr>
        <w:t xml:space="preserve"> double sulphonated sulphonamides, along with their corresponding Pd complexes, were synthesized by a multi-step procedure, and characterized by nuclear magnetic resonance spectroscopy, infrared spectroscopy, electrospray ionisation mass spectrometry, and in some instances by single X-ray crystallography. The compounds were evaluated for antibacterial activity using </w:t>
      </w:r>
      <w:r w:rsidR="00C21D78" w:rsidRPr="006A4665">
        <w:rPr>
          <w:rFonts w:eastAsia="Times New Roman" w:cstheme="minorHAnsi"/>
          <w:kern w:val="0"/>
          <w:sz w:val="20"/>
          <w:szCs w:val="20"/>
          <w:lang w:eastAsia="en-GB"/>
          <w14:ligatures w14:val="none"/>
        </w:rPr>
        <w:t xml:space="preserve">the Broth dilution method. Synergistic activity of the compounds with tetracycline was conducted using the checkerboard method and the Loewe synergy and antagonism </w:t>
      </w:r>
      <w:r w:rsidR="00897A5A" w:rsidRPr="006A4665">
        <w:rPr>
          <w:rFonts w:eastAsia="Times New Roman" w:cstheme="minorHAnsi"/>
          <w:kern w:val="0"/>
          <w:sz w:val="20"/>
          <w:szCs w:val="20"/>
          <w:lang w:eastAsia="en-GB"/>
          <w14:ligatures w14:val="none"/>
        </w:rPr>
        <w:t>model</w:t>
      </w:r>
      <w:r w:rsidR="00C21D78" w:rsidRPr="006A4665">
        <w:rPr>
          <w:rFonts w:eastAsia="Times New Roman" w:cstheme="minorHAnsi"/>
          <w:kern w:val="0"/>
          <w:sz w:val="20"/>
          <w:szCs w:val="20"/>
          <w:lang w:eastAsia="en-GB"/>
          <w14:ligatures w14:val="none"/>
        </w:rPr>
        <w:t xml:space="preserve">. To understand the impact of the compounds on the bacteria, and to provide insight into their mechanism of action, Time-kill kinetics </w:t>
      </w:r>
      <w:r w:rsidR="00897A5A" w:rsidRPr="006A4665">
        <w:rPr>
          <w:rFonts w:eastAsia="Times New Roman" w:cstheme="minorHAnsi"/>
          <w:kern w:val="0"/>
          <w:sz w:val="20"/>
          <w:szCs w:val="20"/>
          <w:lang w:eastAsia="en-GB"/>
          <w14:ligatures w14:val="none"/>
        </w:rPr>
        <w:t>was done for synergistic combinations.</w:t>
      </w:r>
      <w:r w:rsidR="000C0FB1" w:rsidRPr="006A4665">
        <w:rPr>
          <w:rFonts w:cstheme="minorHAnsi"/>
          <w:sz w:val="20"/>
          <w:szCs w:val="20"/>
        </w:rPr>
        <w:t xml:space="preserve"> </w:t>
      </w:r>
    </w:p>
    <w:p w14:paraId="7BCD3253" w14:textId="2C276347" w:rsidR="00617B9E" w:rsidRPr="006A4665" w:rsidRDefault="00617B9E" w:rsidP="0056407D">
      <w:pPr>
        <w:spacing w:after="0" w:line="276" w:lineRule="auto"/>
        <w:jc w:val="both"/>
        <w:rPr>
          <w:rFonts w:cstheme="minorHAnsi"/>
          <w:sz w:val="20"/>
          <w:szCs w:val="20"/>
        </w:rPr>
      </w:pPr>
      <w:r w:rsidRPr="006A4665">
        <w:rPr>
          <w:rFonts w:cstheme="minorHAnsi"/>
          <w:b/>
          <w:bCs/>
          <w:sz w:val="20"/>
          <w:szCs w:val="20"/>
        </w:rPr>
        <w:t>Results</w:t>
      </w:r>
      <w:r w:rsidR="00FD7E28" w:rsidRPr="006A4665">
        <w:rPr>
          <w:rFonts w:cstheme="minorHAnsi"/>
          <w:b/>
          <w:bCs/>
          <w:sz w:val="20"/>
          <w:szCs w:val="20"/>
        </w:rPr>
        <w:t>.</w:t>
      </w:r>
      <w:r w:rsidRPr="006A4665">
        <w:rPr>
          <w:rFonts w:cstheme="minorHAnsi"/>
          <w:sz w:val="20"/>
          <w:szCs w:val="20"/>
        </w:rPr>
        <w:t xml:space="preserve"> P</w:t>
      </w:r>
      <w:r w:rsidR="00C255B2" w:rsidRPr="006A4665">
        <w:rPr>
          <w:rFonts w:cstheme="minorHAnsi"/>
          <w:sz w:val="20"/>
          <w:szCs w:val="20"/>
        </w:rPr>
        <w:t xml:space="preserve">alladium (II) </w:t>
      </w:r>
      <w:r w:rsidRPr="006A4665">
        <w:rPr>
          <w:rFonts w:cstheme="minorHAnsi"/>
          <w:sz w:val="20"/>
          <w:szCs w:val="20"/>
        </w:rPr>
        <w:t xml:space="preserve">complexing </w:t>
      </w:r>
      <w:r w:rsidR="00C255B2" w:rsidRPr="006A4665">
        <w:rPr>
          <w:rFonts w:cstheme="minorHAnsi"/>
          <w:sz w:val="20"/>
          <w:szCs w:val="20"/>
        </w:rPr>
        <w:t xml:space="preserve">resulted in </w:t>
      </w:r>
      <w:r w:rsidR="00807BEA">
        <w:rPr>
          <w:rFonts w:cstheme="minorHAnsi"/>
          <w:sz w:val="20"/>
          <w:szCs w:val="20"/>
        </w:rPr>
        <w:t>compounds with a minimum of 68% superior activity</w:t>
      </w:r>
      <w:r w:rsidR="00C255B2" w:rsidRPr="006A4665">
        <w:rPr>
          <w:rFonts w:cstheme="minorHAnsi"/>
          <w:sz w:val="20"/>
          <w:szCs w:val="20"/>
        </w:rPr>
        <w:t xml:space="preserve"> against </w:t>
      </w:r>
      <w:r w:rsidR="00C255B2" w:rsidRPr="006A4665">
        <w:rPr>
          <w:rFonts w:cstheme="minorHAnsi"/>
          <w:i/>
          <w:iCs/>
          <w:sz w:val="20"/>
          <w:szCs w:val="20"/>
        </w:rPr>
        <w:t>S. hominis</w:t>
      </w:r>
      <w:r w:rsidR="00B83063">
        <w:rPr>
          <w:rFonts w:cstheme="minorHAnsi"/>
          <w:sz w:val="20"/>
          <w:szCs w:val="20"/>
        </w:rPr>
        <w:t xml:space="preserve"> when compared to the parent sulphonamide compounds</w:t>
      </w:r>
      <w:r w:rsidR="00C255B2" w:rsidRPr="006A4665">
        <w:rPr>
          <w:rFonts w:cstheme="minorHAnsi"/>
          <w:sz w:val="20"/>
          <w:szCs w:val="20"/>
        </w:rPr>
        <w:t xml:space="preserve">. Although </w:t>
      </w:r>
      <w:r w:rsidR="00BF618D" w:rsidRPr="006A4665">
        <w:rPr>
          <w:rFonts w:cstheme="minorHAnsi"/>
          <w:sz w:val="20"/>
          <w:szCs w:val="20"/>
        </w:rPr>
        <w:t xml:space="preserve">the parent compounds demonstrated activity against </w:t>
      </w:r>
      <w:r w:rsidR="00BF618D" w:rsidRPr="006A4665">
        <w:rPr>
          <w:rFonts w:cstheme="minorHAnsi"/>
          <w:i/>
          <w:iCs/>
          <w:sz w:val="20"/>
          <w:szCs w:val="20"/>
        </w:rPr>
        <w:t>S. aureus</w:t>
      </w:r>
      <w:r w:rsidR="00BF618D" w:rsidRPr="006A4665">
        <w:rPr>
          <w:rFonts w:cstheme="minorHAnsi"/>
          <w:sz w:val="20"/>
          <w:szCs w:val="20"/>
        </w:rPr>
        <w:t xml:space="preserve">, </w:t>
      </w:r>
      <w:r w:rsidR="00BF618D" w:rsidRPr="006A4665">
        <w:rPr>
          <w:rFonts w:cstheme="minorHAnsi"/>
          <w:i/>
          <w:iCs/>
          <w:sz w:val="20"/>
          <w:szCs w:val="20"/>
        </w:rPr>
        <w:t>S. epidermidis</w:t>
      </w:r>
      <w:r w:rsidR="00BF618D" w:rsidRPr="006A4665">
        <w:rPr>
          <w:rFonts w:cstheme="minorHAnsi"/>
          <w:sz w:val="20"/>
          <w:szCs w:val="20"/>
        </w:rPr>
        <w:t xml:space="preserve">, </w:t>
      </w:r>
      <w:r w:rsidR="00BF618D" w:rsidRPr="006A4665">
        <w:rPr>
          <w:rFonts w:cstheme="minorHAnsi"/>
          <w:i/>
          <w:iCs/>
          <w:sz w:val="20"/>
          <w:szCs w:val="20"/>
        </w:rPr>
        <w:t xml:space="preserve">S. </w:t>
      </w:r>
      <w:proofErr w:type="spellStart"/>
      <w:r w:rsidR="00BF618D" w:rsidRPr="006A4665">
        <w:rPr>
          <w:rFonts w:cstheme="minorHAnsi"/>
          <w:i/>
          <w:iCs/>
          <w:sz w:val="20"/>
          <w:szCs w:val="20"/>
        </w:rPr>
        <w:t>haemolyticus</w:t>
      </w:r>
      <w:proofErr w:type="spellEnd"/>
      <w:r w:rsidR="00BF618D" w:rsidRPr="006A4665">
        <w:rPr>
          <w:rFonts w:cstheme="minorHAnsi"/>
          <w:sz w:val="20"/>
          <w:szCs w:val="20"/>
        </w:rPr>
        <w:t xml:space="preserve">, and </w:t>
      </w:r>
      <w:r w:rsidR="00BF618D" w:rsidRPr="006A4665">
        <w:rPr>
          <w:rFonts w:cstheme="minorHAnsi"/>
          <w:i/>
          <w:iCs/>
          <w:sz w:val="20"/>
          <w:szCs w:val="20"/>
        </w:rPr>
        <w:t>E. faecalis</w:t>
      </w:r>
      <w:r w:rsidR="00BF618D" w:rsidRPr="006A4665">
        <w:rPr>
          <w:rFonts w:cstheme="minorHAnsi"/>
          <w:sz w:val="20"/>
          <w:szCs w:val="20"/>
        </w:rPr>
        <w:t>, their palladium complexes were without activity in these organisms.</w:t>
      </w:r>
      <w:r w:rsidR="00A50508" w:rsidRPr="006A4665">
        <w:rPr>
          <w:rFonts w:cstheme="minorHAnsi"/>
          <w:sz w:val="20"/>
          <w:szCs w:val="20"/>
        </w:rPr>
        <w:t xml:space="preserve"> </w:t>
      </w:r>
      <w:r w:rsidR="00B83063">
        <w:rPr>
          <w:rFonts w:cstheme="minorHAnsi"/>
          <w:sz w:val="20"/>
          <w:szCs w:val="20"/>
        </w:rPr>
        <w:t>T</w:t>
      </w:r>
      <w:r w:rsidR="00807BEA">
        <w:rPr>
          <w:rFonts w:cstheme="minorHAnsi"/>
          <w:sz w:val="20"/>
          <w:szCs w:val="20"/>
        </w:rPr>
        <w:t>wo of the palladium (II) compounds</w:t>
      </w:r>
      <w:r w:rsidR="00A50508" w:rsidRPr="006A4665">
        <w:rPr>
          <w:rFonts w:cstheme="minorHAnsi"/>
          <w:sz w:val="20"/>
          <w:szCs w:val="20"/>
        </w:rPr>
        <w:t xml:space="preserve"> were synergistic with tetracycline in </w:t>
      </w:r>
      <w:r w:rsidR="00A50508" w:rsidRPr="00944734">
        <w:rPr>
          <w:rFonts w:cstheme="minorHAnsi"/>
          <w:i/>
          <w:iCs/>
          <w:sz w:val="20"/>
          <w:szCs w:val="20"/>
        </w:rPr>
        <w:t xml:space="preserve">S. </w:t>
      </w:r>
      <w:proofErr w:type="spellStart"/>
      <w:r w:rsidR="00A50508" w:rsidRPr="00944734">
        <w:rPr>
          <w:rFonts w:cstheme="minorHAnsi"/>
          <w:i/>
          <w:iCs/>
          <w:sz w:val="20"/>
          <w:szCs w:val="20"/>
        </w:rPr>
        <w:t>haemolyticus</w:t>
      </w:r>
      <w:proofErr w:type="spellEnd"/>
      <w:r w:rsidR="00A50508" w:rsidRPr="006A4665">
        <w:rPr>
          <w:rFonts w:cstheme="minorHAnsi"/>
          <w:sz w:val="20"/>
          <w:szCs w:val="20"/>
        </w:rPr>
        <w:t xml:space="preserve">, </w:t>
      </w:r>
      <w:r w:rsidR="00B83063">
        <w:rPr>
          <w:rFonts w:cstheme="minorHAnsi"/>
          <w:sz w:val="20"/>
          <w:szCs w:val="20"/>
        </w:rPr>
        <w:t xml:space="preserve">whilst </w:t>
      </w:r>
      <w:r w:rsidR="00807BEA">
        <w:rPr>
          <w:rFonts w:cstheme="minorHAnsi"/>
          <w:sz w:val="20"/>
          <w:szCs w:val="20"/>
        </w:rPr>
        <w:t>one</w:t>
      </w:r>
      <w:r w:rsidR="00A50508" w:rsidRPr="006A4665">
        <w:rPr>
          <w:rFonts w:cstheme="minorHAnsi"/>
          <w:sz w:val="20"/>
          <w:szCs w:val="20"/>
        </w:rPr>
        <w:t xml:space="preserve"> was antagonistic. However, the </w:t>
      </w:r>
      <w:r w:rsidR="00807BEA">
        <w:rPr>
          <w:rFonts w:cstheme="minorHAnsi"/>
          <w:sz w:val="20"/>
          <w:szCs w:val="20"/>
        </w:rPr>
        <w:t>compounds</w:t>
      </w:r>
      <w:r w:rsidR="00A50508" w:rsidRPr="006A4665">
        <w:rPr>
          <w:rFonts w:cstheme="minorHAnsi"/>
          <w:sz w:val="20"/>
          <w:szCs w:val="20"/>
        </w:rPr>
        <w:t xml:space="preserve"> were either indifferent or antagonistic, except for</w:t>
      </w:r>
      <w:r w:rsidR="00807BEA">
        <w:rPr>
          <w:rFonts w:cstheme="minorHAnsi"/>
          <w:sz w:val="20"/>
          <w:szCs w:val="20"/>
        </w:rPr>
        <w:t xml:space="preserve"> one</w:t>
      </w:r>
      <w:r w:rsidR="00A50508" w:rsidRPr="006A4665">
        <w:rPr>
          <w:rFonts w:cstheme="minorHAnsi"/>
          <w:sz w:val="20"/>
          <w:szCs w:val="20"/>
        </w:rPr>
        <w:t xml:space="preserve"> which demonstrated synergism with</w:t>
      </w:r>
      <w:r w:rsidR="00807BEA">
        <w:rPr>
          <w:rFonts w:cstheme="minorHAnsi"/>
          <w:sz w:val="20"/>
          <w:szCs w:val="20"/>
        </w:rPr>
        <w:t xml:space="preserve"> tetracycline in</w:t>
      </w:r>
      <w:r w:rsidR="00A50508" w:rsidRPr="006A4665">
        <w:rPr>
          <w:rFonts w:cstheme="minorHAnsi"/>
          <w:sz w:val="20"/>
          <w:szCs w:val="20"/>
        </w:rPr>
        <w:t xml:space="preserve"> </w:t>
      </w:r>
      <w:r w:rsidR="00A50508" w:rsidRPr="006A4665">
        <w:rPr>
          <w:rFonts w:cstheme="minorHAnsi"/>
          <w:i/>
          <w:iCs/>
          <w:sz w:val="20"/>
          <w:szCs w:val="20"/>
        </w:rPr>
        <w:t>S. hominis</w:t>
      </w:r>
      <w:r w:rsidR="00A50508" w:rsidRPr="006A4665">
        <w:rPr>
          <w:rFonts w:cstheme="minorHAnsi"/>
          <w:sz w:val="20"/>
          <w:szCs w:val="20"/>
        </w:rPr>
        <w:t>. These interactions were confirmed by the Loewe synergy and antagonism model.</w:t>
      </w:r>
      <w:r w:rsidR="00A06961" w:rsidRPr="006A4665">
        <w:rPr>
          <w:rFonts w:cstheme="minorHAnsi"/>
          <w:sz w:val="20"/>
          <w:szCs w:val="20"/>
        </w:rPr>
        <w:t xml:space="preserve"> Time-kill kinetics reveal</w:t>
      </w:r>
      <w:r w:rsidR="00807BEA">
        <w:rPr>
          <w:rFonts w:cstheme="minorHAnsi"/>
          <w:sz w:val="20"/>
          <w:szCs w:val="20"/>
        </w:rPr>
        <w:t>ed the compounds</w:t>
      </w:r>
      <w:r w:rsidR="00A06961" w:rsidRPr="006A4665">
        <w:rPr>
          <w:rFonts w:cstheme="minorHAnsi"/>
          <w:sz w:val="20"/>
          <w:szCs w:val="20"/>
        </w:rPr>
        <w:t xml:space="preserve"> to be bacteriostatic when tested at MIC, and bactericidal at higher concentrations.</w:t>
      </w:r>
      <w:r w:rsidR="000C0FB1" w:rsidRPr="006A4665">
        <w:rPr>
          <w:rFonts w:cstheme="minorHAnsi"/>
          <w:sz w:val="20"/>
          <w:szCs w:val="20"/>
        </w:rPr>
        <w:t xml:space="preserve"> </w:t>
      </w:r>
    </w:p>
    <w:p w14:paraId="512ACB21" w14:textId="29DE1878" w:rsidR="00A06961" w:rsidRPr="006A4665" w:rsidRDefault="00617B9E" w:rsidP="0056407D">
      <w:pPr>
        <w:spacing w:after="0" w:line="276" w:lineRule="auto"/>
        <w:jc w:val="both"/>
        <w:rPr>
          <w:rFonts w:cstheme="minorHAnsi"/>
          <w:sz w:val="20"/>
          <w:szCs w:val="20"/>
        </w:rPr>
      </w:pPr>
      <w:r w:rsidRPr="006A4665">
        <w:rPr>
          <w:rFonts w:cstheme="minorHAnsi"/>
          <w:b/>
          <w:bCs/>
          <w:sz w:val="20"/>
          <w:szCs w:val="20"/>
        </w:rPr>
        <w:t>Discussion</w:t>
      </w:r>
      <w:r w:rsidR="00FD7E28" w:rsidRPr="006A4665">
        <w:rPr>
          <w:rFonts w:cstheme="minorHAnsi"/>
          <w:b/>
          <w:bCs/>
          <w:sz w:val="20"/>
          <w:szCs w:val="20"/>
        </w:rPr>
        <w:t>.</w:t>
      </w:r>
      <w:r w:rsidRPr="006A4665">
        <w:rPr>
          <w:rFonts w:cstheme="minorHAnsi"/>
          <w:sz w:val="20"/>
          <w:szCs w:val="20"/>
        </w:rPr>
        <w:t xml:space="preserve"> </w:t>
      </w:r>
      <w:r w:rsidR="000031E5" w:rsidRPr="006A4665">
        <w:rPr>
          <w:rFonts w:cstheme="minorHAnsi"/>
          <w:sz w:val="20"/>
          <w:szCs w:val="20"/>
        </w:rPr>
        <w:t xml:space="preserve">The findings demonstrate </w:t>
      </w:r>
      <w:r w:rsidR="00823DF4" w:rsidRPr="006A4665">
        <w:rPr>
          <w:rFonts w:cstheme="minorHAnsi"/>
          <w:sz w:val="20"/>
          <w:szCs w:val="20"/>
        </w:rPr>
        <w:t xml:space="preserve">the </w:t>
      </w:r>
      <w:r w:rsidR="000031E5" w:rsidRPr="006A4665">
        <w:rPr>
          <w:rFonts w:cstheme="minorHAnsi"/>
          <w:sz w:val="20"/>
          <w:szCs w:val="20"/>
        </w:rPr>
        <w:t>potential usefulness of palladium complexes in antimicrobial research, leading to novel agents for the fight against bacteria and other microorganisms. Future research should focus on assessing these compounds for possible therapeutic and/or toxic effects I</w:t>
      </w:r>
      <w:r w:rsidR="000031E5" w:rsidRPr="006A4665">
        <w:rPr>
          <w:rFonts w:cstheme="minorHAnsi"/>
          <w:i/>
          <w:iCs/>
          <w:sz w:val="20"/>
          <w:szCs w:val="20"/>
        </w:rPr>
        <w:t>n Vivo</w:t>
      </w:r>
      <w:r w:rsidR="000031E5" w:rsidRPr="006A4665">
        <w:rPr>
          <w:rFonts w:cstheme="minorHAnsi"/>
          <w:sz w:val="20"/>
          <w:szCs w:val="20"/>
        </w:rPr>
        <w:t>.</w:t>
      </w:r>
    </w:p>
    <w:sectPr w:rsidR="00A06961" w:rsidRPr="006A466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933"/>
    <w:multiLevelType w:val="multilevel"/>
    <w:tmpl w:val="0ABE6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E2107"/>
    <w:multiLevelType w:val="multilevel"/>
    <w:tmpl w:val="64A6B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74F8D"/>
    <w:multiLevelType w:val="multilevel"/>
    <w:tmpl w:val="569C1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6024E"/>
    <w:multiLevelType w:val="multilevel"/>
    <w:tmpl w:val="275E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83768"/>
    <w:multiLevelType w:val="multilevel"/>
    <w:tmpl w:val="A0A0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04C6F"/>
    <w:multiLevelType w:val="hybridMultilevel"/>
    <w:tmpl w:val="081ED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73FA6"/>
    <w:multiLevelType w:val="multilevel"/>
    <w:tmpl w:val="28AEE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C05027"/>
    <w:multiLevelType w:val="multilevel"/>
    <w:tmpl w:val="805E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F6021C"/>
    <w:multiLevelType w:val="multilevel"/>
    <w:tmpl w:val="576A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E97807"/>
    <w:multiLevelType w:val="multilevel"/>
    <w:tmpl w:val="E4C86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971F91"/>
    <w:multiLevelType w:val="multilevel"/>
    <w:tmpl w:val="6570E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07669E"/>
    <w:multiLevelType w:val="multilevel"/>
    <w:tmpl w:val="284AE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047A6F"/>
    <w:multiLevelType w:val="multilevel"/>
    <w:tmpl w:val="87C6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6837E8"/>
    <w:multiLevelType w:val="multilevel"/>
    <w:tmpl w:val="F0BE6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72219C"/>
    <w:multiLevelType w:val="multilevel"/>
    <w:tmpl w:val="1BC2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F80CA8"/>
    <w:multiLevelType w:val="multilevel"/>
    <w:tmpl w:val="76CCF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901676"/>
    <w:multiLevelType w:val="multilevel"/>
    <w:tmpl w:val="E8EC3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7296008">
    <w:abstractNumId w:val="0"/>
  </w:num>
  <w:num w:numId="2" w16cid:durableId="1856578695">
    <w:abstractNumId w:val="8"/>
  </w:num>
  <w:num w:numId="3" w16cid:durableId="1546602679">
    <w:abstractNumId w:val="4"/>
  </w:num>
  <w:num w:numId="4" w16cid:durableId="1941136231">
    <w:abstractNumId w:val="13"/>
  </w:num>
  <w:num w:numId="5" w16cid:durableId="726298751">
    <w:abstractNumId w:val="9"/>
  </w:num>
  <w:num w:numId="6" w16cid:durableId="1034960463">
    <w:abstractNumId w:val="15"/>
  </w:num>
  <w:num w:numId="7" w16cid:durableId="1906716304">
    <w:abstractNumId w:val="6"/>
  </w:num>
  <w:num w:numId="8" w16cid:durableId="582373983">
    <w:abstractNumId w:val="1"/>
  </w:num>
  <w:num w:numId="9" w16cid:durableId="966932423">
    <w:abstractNumId w:val="10"/>
  </w:num>
  <w:num w:numId="10" w16cid:durableId="1699312887">
    <w:abstractNumId w:val="3"/>
  </w:num>
  <w:num w:numId="11" w16cid:durableId="1837106944">
    <w:abstractNumId w:val="12"/>
  </w:num>
  <w:num w:numId="12" w16cid:durableId="401029743">
    <w:abstractNumId w:val="11"/>
  </w:num>
  <w:num w:numId="13" w16cid:durableId="127403651">
    <w:abstractNumId w:val="2"/>
  </w:num>
  <w:num w:numId="14" w16cid:durableId="707141210">
    <w:abstractNumId w:val="16"/>
  </w:num>
  <w:num w:numId="15" w16cid:durableId="1548757580">
    <w:abstractNumId w:val="7"/>
  </w:num>
  <w:num w:numId="16" w16cid:durableId="1976597944">
    <w:abstractNumId w:val="14"/>
  </w:num>
  <w:num w:numId="17" w16cid:durableId="10653708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D02"/>
    <w:rsid w:val="000031E5"/>
    <w:rsid w:val="000373A3"/>
    <w:rsid w:val="000C0FB1"/>
    <w:rsid w:val="00160B25"/>
    <w:rsid w:val="00207154"/>
    <w:rsid w:val="002A0D01"/>
    <w:rsid w:val="003C112C"/>
    <w:rsid w:val="00407B06"/>
    <w:rsid w:val="00414575"/>
    <w:rsid w:val="0056407D"/>
    <w:rsid w:val="00617B9E"/>
    <w:rsid w:val="006A0898"/>
    <w:rsid w:val="006A4665"/>
    <w:rsid w:val="006B54AF"/>
    <w:rsid w:val="007176BA"/>
    <w:rsid w:val="00803B6A"/>
    <w:rsid w:val="00807BEA"/>
    <w:rsid w:val="00823DF4"/>
    <w:rsid w:val="00892114"/>
    <w:rsid w:val="00897A5A"/>
    <w:rsid w:val="008C3D05"/>
    <w:rsid w:val="00944734"/>
    <w:rsid w:val="009F7927"/>
    <w:rsid w:val="00A06961"/>
    <w:rsid w:val="00A50508"/>
    <w:rsid w:val="00A50ADC"/>
    <w:rsid w:val="00A723AC"/>
    <w:rsid w:val="00AC3D09"/>
    <w:rsid w:val="00B55948"/>
    <w:rsid w:val="00B83063"/>
    <w:rsid w:val="00BB3F1C"/>
    <w:rsid w:val="00BF618D"/>
    <w:rsid w:val="00C21D78"/>
    <w:rsid w:val="00C255B2"/>
    <w:rsid w:val="00C50D02"/>
    <w:rsid w:val="00CD0F14"/>
    <w:rsid w:val="00D65FE3"/>
    <w:rsid w:val="00E105B5"/>
    <w:rsid w:val="00E27E03"/>
    <w:rsid w:val="00E30B0F"/>
    <w:rsid w:val="00E655C0"/>
    <w:rsid w:val="00EC089D"/>
    <w:rsid w:val="00F73CB8"/>
    <w:rsid w:val="00FD7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300A1"/>
  <w15:chartTrackingRefBased/>
  <w15:docId w15:val="{D8E006DF-8637-4FE6-8026-65A69159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B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42312">
      <w:bodyDiv w:val="1"/>
      <w:marLeft w:val="0"/>
      <w:marRight w:val="0"/>
      <w:marTop w:val="0"/>
      <w:marBottom w:val="0"/>
      <w:divBdr>
        <w:top w:val="none" w:sz="0" w:space="0" w:color="auto"/>
        <w:left w:val="none" w:sz="0" w:space="0" w:color="auto"/>
        <w:bottom w:val="none" w:sz="0" w:space="0" w:color="auto"/>
        <w:right w:val="none" w:sz="0" w:space="0" w:color="auto"/>
      </w:divBdr>
    </w:div>
    <w:div w:id="292447269">
      <w:bodyDiv w:val="1"/>
      <w:marLeft w:val="0"/>
      <w:marRight w:val="0"/>
      <w:marTop w:val="0"/>
      <w:marBottom w:val="0"/>
      <w:divBdr>
        <w:top w:val="none" w:sz="0" w:space="0" w:color="auto"/>
        <w:left w:val="none" w:sz="0" w:space="0" w:color="auto"/>
        <w:bottom w:val="none" w:sz="0" w:space="0" w:color="auto"/>
        <w:right w:val="none" w:sz="0" w:space="0" w:color="auto"/>
      </w:divBdr>
    </w:div>
    <w:div w:id="1164272985">
      <w:bodyDiv w:val="1"/>
      <w:marLeft w:val="0"/>
      <w:marRight w:val="0"/>
      <w:marTop w:val="0"/>
      <w:marBottom w:val="0"/>
      <w:divBdr>
        <w:top w:val="none" w:sz="0" w:space="0" w:color="auto"/>
        <w:left w:val="none" w:sz="0" w:space="0" w:color="auto"/>
        <w:bottom w:val="none" w:sz="0" w:space="0" w:color="auto"/>
        <w:right w:val="none" w:sz="0" w:space="0" w:color="auto"/>
      </w:divBdr>
    </w:div>
    <w:div w:id="1375235223">
      <w:bodyDiv w:val="1"/>
      <w:marLeft w:val="0"/>
      <w:marRight w:val="0"/>
      <w:marTop w:val="0"/>
      <w:marBottom w:val="0"/>
      <w:divBdr>
        <w:top w:val="none" w:sz="0" w:space="0" w:color="auto"/>
        <w:left w:val="none" w:sz="0" w:space="0" w:color="auto"/>
        <w:bottom w:val="none" w:sz="0" w:space="0" w:color="auto"/>
        <w:right w:val="none" w:sz="0" w:space="0" w:color="auto"/>
      </w:divBdr>
    </w:div>
    <w:div w:id="1402100865">
      <w:bodyDiv w:val="1"/>
      <w:marLeft w:val="0"/>
      <w:marRight w:val="0"/>
      <w:marTop w:val="0"/>
      <w:marBottom w:val="0"/>
      <w:divBdr>
        <w:top w:val="none" w:sz="0" w:space="0" w:color="auto"/>
        <w:left w:val="none" w:sz="0" w:space="0" w:color="auto"/>
        <w:bottom w:val="none" w:sz="0" w:space="0" w:color="auto"/>
        <w:right w:val="none" w:sz="0" w:space="0" w:color="auto"/>
      </w:divBdr>
    </w:div>
    <w:div w:id="212965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Ewura Yahaya</dc:creator>
  <cp:keywords/>
  <dc:description/>
  <cp:lastModifiedBy>Ewura Yahaya</cp:lastModifiedBy>
  <cp:revision>8</cp:revision>
  <dcterms:created xsi:type="dcterms:W3CDTF">2025-08-06T11:36:00Z</dcterms:created>
  <dcterms:modified xsi:type="dcterms:W3CDTF">2025-08-06T14:53:00Z</dcterms:modified>
</cp:coreProperties>
</file>