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1234" w14:textId="77777777" w:rsidR="00866077" w:rsidRPr="00866077" w:rsidRDefault="00866077" w:rsidP="00866077">
      <w:pPr>
        <w:pStyle w:val="NormalWeb"/>
        <w:jc w:val="both"/>
        <w:rPr>
          <w:rFonts w:ascii="Calibri" w:hAnsi="Calibri" w:cs="Calibri"/>
          <w:sz w:val="20"/>
          <w:szCs w:val="20"/>
        </w:rPr>
      </w:pPr>
      <w:r w:rsidRPr="00866077">
        <w:rPr>
          <w:rStyle w:val="Strong"/>
          <w:rFonts w:ascii="Calibri" w:hAnsi="Calibri" w:cs="Calibri"/>
          <w:sz w:val="20"/>
          <w:szCs w:val="20"/>
        </w:rPr>
        <w:t>Adverse drug reactions registered in Mongolia between 2015 and 2019</w:t>
      </w:r>
    </w:p>
    <w:p w14:paraId="243435B3" w14:textId="77777777" w:rsidR="00866077" w:rsidRPr="00866077" w:rsidRDefault="00866077" w:rsidP="00866077">
      <w:pPr>
        <w:pStyle w:val="NormalWeb"/>
        <w:rPr>
          <w:rFonts w:ascii="Calibri" w:hAnsi="Calibri" w:cs="Calibri"/>
          <w:sz w:val="20"/>
          <w:szCs w:val="20"/>
        </w:rPr>
      </w:pPr>
      <w:proofErr w:type="spellStart"/>
      <w:r w:rsidRPr="00866077">
        <w:rPr>
          <w:rFonts w:ascii="Calibri" w:hAnsi="Calibri" w:cs="Calibri"/>
          <w:sz w:val="20"/>
          <w:szCs w:val="20"/>
        </w:rPr>
        <w:t>Khaliun</w:t>
      </w:r>
      <w:proofErr w:type="spellEnd"/>
      <w:r w:rsidRPr="00866077">
        <w:rPr>
          <w:rFonts w:ascii="Calibri" w:hAnsi="Calibri" w:cs="Calibri"/>
          <w:sz w:val="20"/>
          <w:szCs w:val="20"/>
        </w:rPr>
        <w:t xml:space="preserve"> Nyambayar¹, </w:t>
      </w:r>
      <w:proofErr w:type="spellStart"/>
      <w:r w:rsidRPr="00866077">
        <w:rPr>
          <w:rFonts w:ascii="Calibri" w:hAnsi="Calibri" w:cs="Calibri"/>
          <w:sz w:val="20"/>
          <w:szCs w:val="20"/>
        </w:rPr>
        <w:t>Batkhuyag</w:t>
      </w:r>
      <w:proofErr w:type="spellEnd"/>
      <w:r w:rsidRPr="00866077">
        <w:rPr>
          <w:rFonts w:ascii="Calibri" w:hAnsi="Calibri" w:cs="Calibri"/>
          <w:sz w:val="20"/>
          <w:szCs w:val="20"/>
        </w:rPr>
        <w:t xml:space="preserve"> Purevjav¹</w:t>
      </w:r>
      <w:r w:rsidRPr="00866077">
        <w:rPr>
          <w:rFonts w:ascii="Calibri" w:hAnsi="Calibri" w:cs="Calibri"/>
          <w:sz w:val="20"/>
          <w:szCs w:val="20"/>
        </w:rPr>
        <w:br/>
        <w:t>¹Pharmacology Department, School of Bio-Medicine, Mongolian National University of Medical Sciences, Ulaanbaatar, Mongolia</w:t>
      </w:r>
    </w:p>
    <w:p w14:paraId="01FCE195" w14:textId="77777777" w:rsidR="00866077" w:rsidRPr="00866077" w:rsidRDefault="00866077" w:rsidP="00866077">
      <w:pPr>
        <w:pStyle w:val="NormalWeb"/>
        <w:spacing w:before="0" w:beforeAutospacing="0" w:after="0" w:afterAutospacing="0"/>
        <w:jc w:val="both"/>
        <w:rPr>
          <w:rFonts w:ascii="Calibri" w:hAnsi="Calibri" w:cs="Calibri"/>
          <w:sz w:val="20"/>
          <w:szCs w:val="20"/>
        </w:rPr>
      </w:pPr>
      <w:r w:rsidRPr="00866077">
        <w:rPr>
          <w:rStyle w:val="Strong"/>
          <w:rFonts w:ascii="Calibri" w:hAnsi="Calibri" w:cs="Calibri"/>
          <w:sz w:val="20"/>
          <w:szCs w:val="20"/>
        </w:rPr>
        <w:t>Introduction.</w:t>
      </w:r>
      <w:r w:rsidRPr="00866077">
        <w:rPr>
          <w:rFonts w:ascii="Calibri" w:hAnsi="Calibri" w:cs="Calibri"/>
          <w:sz w:val="20"/>
          <w:szCs w:val="20"/>
        </w:rPr>
        <w:t xml:space="preserve"> Pharmacovigilance in Mongolia has been supported by WHO since 2009 and uses Naranjo’s algorithm. Earlier findings indicated that many adverse drug reactions (ADRs) were classified as definite, suggesting that routine treatments may contribute to morbidity and mortality.</w:t>
      </w:r>
    </w:p>
    <w:p w14:paraId="5D66C487" w14:textId="77777777" w:rsidR="00866077" w:rsidRPr="00866077" w:rsidRDefault="00866077" w:rsidP="00866077">
      <w:pPr>
        <w:pStyle w:val="NormalWeb"/>
        <w:spacing w:before="0" w:beforeAutospacing="0" w:after="0" w:afterAutospacing="0"/>
        <w:jc w:val="both"/>
        <w:rPr>
          <w:rFonts w:ascii="Calibri" w:hAnsi="Calibri" w:cs="Calibri"/>
          <w:sz w:val="20"/>
          <w:szCs w:val="20"/>
        </w:rPr>
      </w:pPr>
      <w:r w:rsidRPr="00866077">
        <w:rPr>
          <w:rStyle w:val="Strong"/>
          <w:rFonts w:ascii="Calibri" w:hAnsi="Calibri" w:cs="Calibri"/>
          <w:sz w:val="20"/>
          <w:szCs w:val="20"/>
        </w:rPr>
        <w:t>Aims.</w:t>
      </w:r>
      <w:r w:rsidRPr="00866077">
        <w:rPr>
          <w:rFonts w:ascii="Calibri" w:hAnsi="Calibri" w:cs="Calibri"/>
          <w:sz w:val="20"/>
          <w:szCs w:val="20"/>
        </w:rPr>
        <w:t xml:space="preserve"> To describe the incidence and patterns of ADRs reported in Mongolia from 2015–2019 and to assess outcomes and follow-up processes.</w:t>
      </w:r>
    </w:p>
    <w:p w14:paraId="4A8E601D" w14:textId="77777777" w:rsidR="00866077" w:rsidRPr="00866077" w:rsidRDefault="00866077" w:rsidP="00866077">
      <w:pPr>
        <w:pStyle w:val="NormalWeb"/>
        <w:spacing w:before="0" w:beforeAutospacing="0" w:after="0" w:afterAutospacing="0"/>
        <w:jc w:val="both"/>
        <w:rPr>
          <w:rFonts w:ascii="Calibri" w:hAnsi="Calibri" w:cs="Calibri"/>
          <w:sz w:val="20"/>
          <w:szCs w:val="20"/>
        </w:rPr>
      </w:pPr>
      <w:r w:rsidRPr="00866077">
        <w:rPr>
          <w:rStyle w:val="Strong"/>
          <w:rFonts w:ascii="Calibri" w:hAnsi="Calibri" w:cs="Calibri"/>
          <w:sz w:val="20"/>
          <w:szCs w:val="20"/>
        </w:rPr>
        <w:t>Methods.</w:t>
      </w:r>
      <w:r w:rsidRPr="00866077">
        <w:rPr>
          <w:rFonts w:ascii="Calibri" w:hAnsi="Calibri" w:cs="Calibri"/>
          <w:sz w:val="20"/>
          <w:szCs w:val="20"/>
        </w:rPr>
        <w:t xml:space="preserve"> A retrospective review of “yellow card” reports submitted to the Health Development Center was conducted for the period 2015–2019. ADRs were classified by patient demographics, drug class, organ system, and severity using Naranjo’s algorithm and the Hartwig and Siegel scale.</w:t>
      </w:r>
    </w:p>
    <w:p w14:paraId="530A06AF" w14:textId="77777777" w:rsidR="00866077" w:rsidRPr="00866077" w:rsidRDefault="00866077" w:rsidP="00866077">
      <w:pPr>
        <w:pStyle w:val="NormalWeb"/>
        <w:spacing w:before="0" w:beforeAutospacing="0" w:after="0" w:afterAutospacing="0"/>
        <w:jc w:val="both"/>
        <w:rPr>
          <w:rFonts w:ascii="Calibri" w:hAnsi="Calibri" w:cs="Calibri"/>
          <w:sz w:val="20"/>
          <w:szCs w:val="20"/>
        </w:rPr>
      </w:pPr>
      <w:r w:rsidRPr="00866077">
        <w:rPr>
          <w:rStyle w:val="Strong"/>
          <w:rFonts w:ascii="Calibri" w:hAnsi="Calibri" w:cs="Calibri"/>
          <w:sz w:val="20"/>
          <w:szCs w:val="20"/>
        </w:rPr>
        <w:t>Results.</w:t>
      </w:r>
      <w:r w:rsidRPr="00866077">
        <w:rPr>
          <w:rFonts w:ascii="Calibri" w:hAnsi="Calibri" w:cs="Calibri"/>
          <w:sz w:val="20"/>
          <w:szCs w:val="20"/>
        </w:rPr>
        <w:t xml:space="preserve"> A total of 417 ADRs were reported, most in adults (80%) and in females (66%). Antibiotics were the leading drug class. The most frequent presentations were cutaneous (42%) and gastrointestinal (22%). Causality was most often assessed as probable or definite. Severity was predominantly mild (58%) or moderate (37%), with 16 severe cases. Reported outcomes included 3 deaths, 7 critical cases, and 45 hospitalizations with extended stay.</w:t>
      </w:r>
    </w:p>
    <w:p w14:paraId="42AF52B9" w14:textId="77777777" w:rsidR="00866077" w:rsidRPr="00866077" w:rsidRDefault="00866077" w:rsidP="00866077">
      <w:pPr>
        <w:pStyle w:val="NormalWeb"/>
        <w:spacing w:before="0" w:beforeAutospacing="0" w:after="0" w:afterAutospacing="0"/>
        <w:jc w:val="both"/>
        <w:rPr>
          <w:rFonts w:ascii="Calibri" w:hAnsi="Calibri" w:cs="Calibri"/>
          <w:sz w:val="20"/>
          <w:szCs w:val="20"/>
        </w:rPr>
      </w:pPr>
      <w:r w:rsidRPr="00866077">
        <w:rPr>
          <w:rStyle w:val="Strong"/>
          <w:rFonts w:ascii="Calibri" w:hAnsi="Calibri" w:cs="Calibri"/>
          <w:sz w:val="20"/>
          <w:szCs w:val="20"/>
        </w:rPr>
        <w:t>Discussion.</w:t>
      </w:r>
      <w:r w:rsidRPr="00866077">
        <w:rPr>
          <w:rFonts w:ascii="Calibri" w:hAnsi="Calibri" w:cs="Calibri"/>
          <w:sz w:val="20"/>
          <w:szCs w:val="20"/>
        </w:rPr>
        <w:t xml:space="preserve"> Strengthening ADR reporting and ensuring regular submission to pharmacovigilance centers are essential to improve drug safety in Mongolia.</w:t>
      </w:r>
    </w:p>
    <w:p w14:paraId="53675750" w14:textId="7950747C" w:rsidR="00866077" w:rsidRPr="00866077" w:rsidRDefault="00866077" w:rsidP="00866077">
      <w:pPr>
        <w:jc w:val="both"/>
        <w:rPr>
          <w:rFonts w:ascii="Calibri" w:hAnsi="Calibri" w:cs="Calibri"/>
          <w:sz w:val="20"/>
          <w:szCs w:val="20"/>
        </w:rPr>
      </w:pPr>
      <w:r>
        <w:rPr>
          <w:rFonts w:ascii="Calibri" w:hAnsi="Calibri" w:cs="Calibri"/>
          <w:sz w:val="20"/>
          <w:szCs w:val="20"/>
        </w:rPr>
        <w:t xml:space="preserve"> </w:t>
      </w:r>
    </w:p>
    <w:p w14:paraId="0CCAA407" w14:textId="77777777" w:rsidR="00866077" w:rsidRPr="00866077" w:rsidRDefault="00866077">
      <w:pPr>
        <w:jc w:val="both"/>
        <w:rPr>
          <w:rFonts w:ascii="Calibri" w:hAnsi="Calibri" w:cs="Calibri"/>
          <w:sz w:val="20"/>
          <w:szCs w:val="20"/>
        </w:rPr>
      </w:pPr>
    </w:p>
    <w:sectPr w:rsidR="00866077" w:rsidRPr="00866077" w:rsidSect="00CA5D1B">
      <w:pgSz w:w="8391" w:h="11906" w:code="1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1B"/>
    <w:rsid w:val="004122A7"/>
    <w:rsid w:val="00866077"/>
    <w:rsid w:val="00CA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34E"/>
  <w15:chartTrackingRefBased/>
  <w15:docId w15:val="{0E2C8699-AB99-415F-A185-0DC6D705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D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A5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7849">
      <w:bodyDiv w:val="1"/>
      <w:marLeft w:val="0"/>
      <w:marRight w:val="0"/>
      <w:marTop w:val="0"/>
      <w:marBottom w:val="0"/>
      <w:divBdr>
        <w:top w:val="none" w:sz="0" w:space="0" w:color="auto"/>
        <w:left w:val="none" w:sz="0" w:space="0" w:color="auto"/>
        <w:bottom w:val="none" w:sz="0" w:space="0" w:color="auto"/>
        <w:right w:val="none" w:sz="0" w:space="0" w:color="auto"/>
      </w:divBdr>
    </w:div>
    <w:div w:id="4144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Ganzorigt Amarjargal</dc:creator>
  <cp:keywords/>
  <dc:description/>
  <cp:lastModifiedBy>Ganzorigt Amarjargal</cp:lastModifiedBy>
  <cp:revision>1</cp:revision>
  <dcterms:created xsi:type="dcterms:W3CDTF">2025-09-11T14:17:00Z</dcterms:created>
  <dcterms:modified xsi:type="dcterms:W3CDTF">2025-09-11T14:40:00Z</dcterms:modified>
</cp:coreProperties>
</file>